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ind w:left="0" w:firstLine="880" w:firstLineChars="200"/>
        <w:jc w:val="center"/>
        <w:rPr>
          <w:rFonts w:hint="eastAsia" w:ascii="仿宋_GB2312" w:hAnsi="仿宋_GB2312" w:eastAsia="仿宋_GB2312" w:cs="仿宋_GB2312"/>
          <w:color w:val="auto"/>
          <w:kern w:val="2"/>
          <w:sz w:val="44"/>
          <w:szCs w:val="44"/>
          <w:lang w:val="en-US" w:eastAsia="zh-CN" w:bidi="ar"/>
        </w:rPr>
      </w:pPr>
      <w:r>
        <w:rPr>
          <w:rFonts w:hint="eastAsia" w:ascii="仿宋_GB2312" w:hAnsi="仿宋_GB2312" w:eastAsia="仿宋_GB2312" w:cs="仿宋_GB2312"/>
          <w:color w:val="auto"/>
          <w:kern w:val="2"/>
          <w:sz w:val="44"/>
          <w:szCs w:val="44"/>
          <w:lang w:val="en-US" w:eastAsia="zh-CN" w:bidi="ar"/>
        </w:rPr>
        <w:t>模块三  全过程造价管理综合应用</w:t>
      </w:r>
    </w:p>
    <w:p>
      <w:pPr>
        <w:spacing w:after="0" w:line="360" w:lineRule="auto"/>
        <w:ind w:left="0" w:firstLine="560" w:firstLineChars="200"/>
        <w:jc w:val="both"/>
        <w:rPr>
          <w:rFonts w:hint="eastAsia" w:ascii="仿宋_GB2312" w:hAnsi="仿宋_GB2312" w:eastAsia="仿宋_GB2312" w:cs="仿宋_GB2312"/>
          <w:color w:val="auto"/>
          <w:kern w:val="2"/>
          <w:sz w:val="28"/>
          <w:szCs w:val="28"/>
          <w:lang w:val="en-US" w:eastAsia="zh-CN" w:bidi="ar"/>
        </w:rPr>
      </w:pPr>
      <w:r>
        <w:rPr>
          <w:rFonts w:hint="eastAsia" w:ascii="仿宋_GB2312" w:hAnsi="仿宋_GB2312" w:eastAsia="仿宋_GB2312" w:cs="仿宋_GB2312"/>
          <w:color w:val="auto"/>
          <w:kern w:val="2"/>
          <w:sz w:val="28"/>
          <w:szCs w:val="28"/>
          <w:lang w:val="en-US" w:eastAsia="zh-CN" w:bidi="ar"/>
        </w:rPr>
        <w:t xml:space="preserve">本试卷内容为甘肃省职业院校技能大赛建设工程数字化计量与计价赛项，模块三“全过程造价管理综合应用”试卷内容，本试卷分为单项选择题、多项选择题。单项选择题为60道，多项选择题为20道。比赛形式为个人赛（成绩为团队成员总分/3），本试卷比赛时长为60分钟。在省赛中权重占比为20%。 </w:t>
      </w:r>
    </w:p>
    <w:p>
      <w:pPr>
        <w:spacing w:after="0" w:line="360" w:lineRule="auto"/>
        <w:ind w:left="0" w:firstLine="420" w:firstLineChars="200"/>
      </w:pPr>
      <w:r>
        <w:t xml:space="preserve"> </w:t>
      </w:r>
    </w:p>
    <w:p>
      <w:pPr>
        <w:keepNext w:val="0"/>
        <w:keepLines w:val="0"/>
        <w:pageBreakBefore w:val="0"/>
        <w:kinsoku/>
        <w:wordWrap/>
        <w:overflowPunct/>
        <w:topLinePunct w:val="0"/>
        <w:autoSpaceDE/>
        <w:autoSpaceDN/>
        <w:bidi w:val="0"/>
        <w:spacing w:after="0" w:line="360" w:lineRule="auto"/>
        <w:jc w:val="both"/>
        <w:textAlignment w:val="auto"/>
        <w:rPr>
          <w:b/>
          <w:bCs/>
        </w:rPr>
      </w:pPr>
      <w:r>
        <w:rPr>
          <w:rFonts w:hint="eastAsia" w:ascii="仿宋_GB2312" w:hAnsi="仿宋_GB2312" w:eastAsia="仿宋_GB2312" w:cs="仿宋_GB2312"/>
          <w:b/>
          <w:bCs/>
          <w:color w:val="auto"/>
          <w:kern w:val="2"/>
          <w:sz w:val="28"/>
          <w:szCs w:val="28"/>
          <w:lang w:val="en-US" w:eastAsia="zh-CN" w:bidi="ar"/>
        </w:rPr>
        <w:t>一、 单选题，60题，每道题的备选项中，只有一个最符合题意。每题1分，错选本题不得分。</w:t>
      </w:r>
      <w:r>
        <w:rPr>
          <w:b/>
          <w:bCs/>
        </w:rPr>
        <w:t xml:space="preserve"> </w:t>
      </w:r>
    </w:p>
    <w:p>
      <w:pPr>
        <w:keepNext w:val="0"/>
        <w:keepLines w:val="0"/>
        <w:pageBreakBefore w:val="0"/>
        <w:widowControl w:val="0"/>
        <w:kinsoku/>
        <w:wordWrap/>
        <w:overflowPunct/>
        <w:topLinePunct w:val="0"/>
        <w:autoSpaceDE/>
        <w:autoSpaceDN/>
        <w:bidi w:val="0"/>
        <w:spacing w:line="240" w:lineRule="auto"/>
        <w:textAlignment w:val="auto"/>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1.工伤保险费应当由（ ）缴纳。</w:t>
      </w:r>
      <w:bookmarkStart w:id="0" w:name="_GoBack"/>
      <w:bookmarkEnd w:id="0"/>
    </w:p>
    <w:p>
      <w:pPr>
        <w:keepNext w:val="0"/>
        <w:keepLines w:val="0"/>
        <w:pageBreakBefore w:val="0"/>
        <w:widowControl w:val="0"/>
        <w:kinsoku/>
        <w:wordWrap/>
        <w:overflowPunct/>
        <w:topLinePunct w:val="0"/>
        <w:autoSpaceDE/>
        <w:autoSpaceDN/>
        <w:bidi w:val="0"/>
        <w:spacing w:line="240" w:lineRule="auto"/>
        <w:textAlignment w:val="auto"/>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A.当地政府  B.用人单位  C.职工个人   D.工伤保险基金</w:t>
      </w:r>
    </w:p>
    <w:p>
      <w:pPr>
        <w:keepNext w:val="0"/>
        <w:keepLines w:val="0"/>
        <w:pageBreakBefore w:val="0"/>
        <w:widowControl w:val="0"/>
        <w:kinsoku/>
        <w:wordWrap/>
        <w:overflowPunct/>
        <w:topLinePunct w:val="0"/>
        <w:autoSpaceDE/>
        <w:autoSpaceDN/>
        <w:bidi w:val="0"/>
        <w:spacing w:line="240" w:lineRule="auto"/>
        <w:textAlignment w:val="auto"/>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2.某项目处于市区，城市维护建设税的税率为（ ）。</w:t>
      </w:r>
    </w:p>
    <w:p>
      <w:pPr>
        <w:keepNext w:val="0"/>
        <w:keepLines w:val="0"/>
        <w:pageBreakBefore w:val="0"/>
        <w:widowControl w:val="0"/>
        <w:kinsoku/>
        <w:wordWrap/>
        <w:overflowPunct/>
        <w:topLinePunct w:val="0"/>
        <w:autoSpaceDE/>
        <w:autoSpaceDN/>
        <w:bidi w:val="0"/>
        <w:spacing w:line="240" w:lineRule="auto"/>
        <w:textAlignment w:val="auto"/>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A、1%        B、3%        C、5%        D、7%</w:t>
      </w:r>
    </w:p>
    <w:p>
      <w:pPr>
        <w:keepNext w:val="0"/>
        <w:keepLines w:val="0"/>
        <w:pageBreakBefore w:val="0"/>
        <w:widowControl w:val="0"/>
        <w:kinsoku/>
        <w:wordWrap/>
        <w:overflowPunct/>
        <w:topLinePunct w:val="0"/>
        <w:autoSpaceDE/>
        <w:autoSpaceDN/>
        <w:bidi w:val="0"/>
        <w:spacing w:line="240" w:lineRule="auto"/>
        <w:textAlignment w:val="auto"/>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3.根据《建筑工程施工质量验收统一标准》，下列工程中，属于分项工程的是（ ）。</w:t>
      </w:r>
    </w:p>
    <w:p>
      <w:pPr>
        <w:keepNext w:val="0"/>
        <w:keepLines w:val="0"/>
        <w:pageBreakBefore w:val="0"/>
        <w:widowControl w:val="0"/>
        <w:kinsoku/>
        <w:wordWrap/>
        <w:overflowPunct/>
        <w:topLinePunct w:val="0"/>
        <w:autoSpaceDE/>
        <w:autoSpaceDN/>
        <w:bidi w:val="0"/>
        <w:spacing w:line="240" w:lineRule="auto"/>
        <w:textAlignment w:val="auto"/>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 xml:space="preserve">A.地基与基础  B.装饰装修  C.土方开挖工程  D.砌体结构 </w:t>
      </w:r>
    </w:p>
    <w:p>
      <w:pPr>
        <w:keepNext w:val="0"/>
        <w:keepLines w:val="0"/>
        <w:pageBreakBefore w:val="0"/>
        <w:widowControl w:val="0"/>
        <w:kinsoku/>
        <w:wordWrap/>
        <w:overflowPunct/>
        <w:topLinePunct w:val="0"/>
        <w:autoSpaceDE/>
        <w:autoSpaceDN/>
        <w:bidi w:val="0"/>
        <w:spacing w:line="240" w:lineRule="auto"/>
        <w:textAlignment w:val="auto"/>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4.政府采购工程没有投标人投标的，应采用（ ）。</w:t>
      </w:r>
    </w:p>
    <w:p>
      <w:pPr>
        <w:keepNext w:val="0"/>
        <w:keepLines w:val="0"/>
        <w:pageBreakBefore w:val="0"/>
        <w:widowControl w:val="0"/>
        <w:kinsoku/>
        <w:wordWrap/>
        <w:overflowPunct/>
        <w:topLinePunct w:val="0"/>
        <w:autoSpaceDE/>
        <w:autoSpaceDN/>
        <w:bidi w:val="0"/>
        <w:spacing w:line="240" w:lineRule="auto"/>
        <w:textAlignment w:val="auto"/>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 xml:space="preserve">A.邀请招标    B.竞争性谈判    C.单一来源   D.重新招标 </w:t>
      </w:r>
    </w:p>
    <w:p>
      <w:pPr>
        <w:keepNext w:val="0"/>
        <w:keepLines w:val="0"/>
        <w:pageBreakBefore w:val="0"/>
        <w:widowControl w:val="0"/>
        <w:kinsoku/>
        <w:wordWrap/>
        <w:overflowPunct/>
        <w:topLinePunct w:val="0"/>
        <w:autoSpaceDE/>
        <w:autoSpaceDN/>
        <w:bidi w:val="0"/>
        <w:spacing w:line="240" w:lineRule="auto"/>
        <w:textAlignment w:val="auto"/>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5.根据《标准设计施工总承包招标文件》，发包人最迟应当在监理人收到进度付款申请单的（  ）天内，将进度应付款支付给承包人。</w:t>
      </w:r>
    </w:p>
    <w:p>
      <w:pPr>
        <w:keepNext w:val="0"/>
        <w:keepLines w:val="0"/>
        <w:pageBreakBefore w:val="0"/>
        <w:widowControl w:val="0"/>
        <w:kinsoku/>
        <w:wordWrap/>
        <w:overflowPunct/>
        <w:topLinePunct w:val="0"/>
        <w:autoSpaceDE/>
        <w:autoSpaceDN/>
        <w:bidi w:val="0"/>
        <w:spacing w:line="240" w:lineRule="auto"/>
        <w:textAlignment w:val="auto"/>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A、14          B、21          C、28          D、35</w:t>
      </w:r>
    </w:p>
    <w:p>
      <w:pPr>
        <w:pStyle w:val="2"/>
        <w:keepNext w:val="0"/>
        <w:keepLines w:val="0"/>
        <w:pageBreakBefore w:val="0"/>
        <w:widowControl/>
        <w:kinsoku/>
        <w:wordWrap/>
        <w:overflowPunct/>
        <w:topLinePunct w:val="0"/>
        <w:autoSpaceDE/>
        <w:autoSpaceDN/>
        <w:bidi w:val="0"/>
        <w:adjustRightInd/>
        <w:snapToGrid/>
        <w:spacing w:before="1" w:line="360" w:lineRule="auto"/>
        <w:ind w:left="2"/>
        <w:textAlignment w:val="auto"/>
        <w:rPr>
          <w:rFonts w:hint="eastAsia" w:ascii="仿宋_GB2312" w:hAnsi="仿宋_GB2312" w:eastAsia="仿宋_GB2312" w:cs="仿宋_GB2312"/>
          <w:kern w:val="2"/>
          <w:sz w:val="28"/>
          <w:szCs w:val="36"/>
          <w:lang w:val="en-US" w:eastAsia="zh-CN" w:bidi="ar-SA"/>
        </w:rPr>
      </w:pPr>
      <w:r>
        <w:rPr>
          <w:rFonts w:hint="eastAsia" w:ascii="仿宋_GB2312" w:hAnsi="仿宋_GB2312" w:eastAsia="仿宋_GB2312" w:cs="仿宋_GB2312"/>
          <w:kern w:val="2"/>
          <w:sz w:val="28"/>
          <w:szCs w:val="36"/>
          <w:lang w:val="en-US" w:eastAsia="zh-CN" w:bidi="ar-SA"/>
        </w:rPr>
        <w:t>6.下列费用中，属于建设工程静态投资的是（  ）。</w:t>
      </w:r>
    </w:p>
    <w:p>
      <w:pPr>
        <w:pStyle w:val="2"/>
        <w:keepNext w:val="0"/>
        <w:keepLines w:val="0"/>
        <w:pageBreakBefore w:val="0"/>
        <w:widowControl/>
        <w:kinsoku/>
        <w:wordWrap/>
        <w:overflowPunct/>
        <w:topLinePunct w:val="0"/>
        <w:autoSpaceDE/>
        <w:autoSpaceDN/>
        <w:bidi w:val="0"/>
        <w:adjustRightInd/>
        <w:snapToGrid/>
        <w:spacing w:before="1" w:line="360" w:lineRule="auto"/>
        <w:textAlignment w:val="auto"/>
        <w:rPr>
          <w:rFonts w:hint="eastAsia" w:ascii="仿宋_GB2312" w:hAnsi="仿宋_GB2312" w:eastAsia="仿宋_GB2312" w:cs="仿宋_GB2312"/>
          <w:kern w:val="2"/>
          <w:sz w:val="28"/>
          <w:szCs w:val="36"/>
          <w:lang w:val="en-US" w:eastAsia="zh-CN" w:bidi="ar-SA"/>
        </w:rPr>
      </w:pPr>
      <w:r>
        <w:rPr>
          <w:rFonts w:hint="eastAsia" w:ascii="仿宋_GB2312" w:hAnsi="仿宋_GB2312" w:eastAsia="仿宋_GB2312" w:cs="仿宋_GB2312"/>
          <w:kern w:val="2"/>
          <w:sz w:val="28"/>
          <w:szCs w:val="36"/>
          <w:lang w:val="en-US" w:eastAsia="zh-CN" w:bidi="ar-SA"/>
        </w:rPr>
        <w:t xml:space="preserve">A、涨价预备费      B、建设期贷款利息    </w:t>
      </w:r>
    </w:p>
    <w:p>
      <w:pPr>
        <w:pStyle w:val="2"/>
        <w:keepNext w:val="0"/>
        <w:keepLines w:val="0"/>
        <w:pageBreakBefore w:val="0"/>
        <w:widowControl/>
        <w:kinsoku/>
        <w:wordWrap/>
        <w:overflowPunct/>
        <w:topLinePunct w:val="0"/>
        <w:autoSpaceDE/>
        <w:autoSpaceDN/>
        <w:bidi w:val="0"/>
        <w:adjustRightInd/>
        <w:snapToGrid/>
        <w:spacing w:before="1" w:line="360" w:lineRule="auto"/>
        <w:textAlignment w:val="auto"/>
        <w:rPr>
          <w:rFonts w:hint="eastAsia" w:ascii="仿宋_GB2312" w:hAnsi="仿宋_GB2312" w:eastAsia="仿宋_GB2312" w:cs="仿宋_GB2312"/>
          <w:kern w:val="2"/>
          <w:sz w:val="28"/>
          <w:szCs w:val="36"/>
          <w:lang w:val="en-US" w:eastAsia="zh-CN" w:bidi="ar-SA"/>
        </w:rPr>
      </w:pPr>
      <w:r>
        <w:rPr>
          <w:rFonts w:hint="eastAsia" w:ascii="仿宋_GB2312" w:hAnsi="仿宋_GB2312" w:eastAsia="仿宋_GB2312" w:cs="仿宋_GB2312"/>
          <w:kern w:val="2"/>
          <w:sz w:val="28"/>
          <w:szCs w:val="36"/>
          <w:lang w:val="en-US" w:eastAsia="zh-CN" w:bidi="ar-SA"/>
        </w:rPr>
        <w:t>C、基本预备费      D、资金占用成本</w:t>
      </w:r>
    </w:p>
    <w:p>
      <w:pPr>
        <w:pStyle w:val="2"/>
        <w:keepNext w:val="0"/>
        <w:keepLines w:val="0"/>
        <w:pageBreakBefore w:val="0"/>
        <w:widowControl/>
        <w:kinsoku/>
        <w:wordWrap/>
        <w:overflowPunct/>
        <w:topLinePunct w:val="0"/>
        <w:autoSpaceDE/>
        <w:autoSpaceDN/>
        <w:bidi w:val="0"/>
        <w:adjustRightInd/>
        <w:snapToGrid/>
        <w:spacing w:before="1" w:line="360" w:lineRule="auto"/>
        <w:textAlignment w:val="auto"/>
        <w:rPr>
          <w:rFonts w:hint="eastAsia" w:ascii="仿宋_GB2312" w:hAnsi="仿宋_GB2312" w:eastAsia="仿宋_GB2312" w:cs="仿宋_GB2312"/>
          <w:kern w:val="2"/>
          <w:sz w:val="28"/>
          <w:szCs w:val="36"/>
          <w:lang w:val="en-US" w:eastAsia="zh-CN" w:bidi="ar-SA"/>
        </w:rPr>
      </w:pPr>
      <w:r>
        <w:rPr>
          <w:rFonts w:hint="eastAsia" w:ascii="仿宋_GB2312" w:hAnsi="仿宋_GB2312" w:eastAsia="仿宋_GB2312" w:cs="仿宋_GB2312"/>
          <w:kern w:val="2"/>
          <w:sz w:val="28"/>
          <w:szCs w:val="36"/>
          <w:lang w:val="en-US" w:eastAsia="zh-CN" w:bidi="ar-SA"/>
        </w:rPr>
        <w:t>7.因不可抗力造成的下列损失，应由发包人承担的是（  ）。</w:t>
      </w:r>
    </w:p>
    <w:p>
      <w:pPr>
        <w:pStyle w:val="2"/>
        <w:keepNext w:val="0"/>
        <w:keepLines w:val="0"/>
        <w:pageBreakBefore w:val="0"/>
        <w:widowControl/>
        <w:kinsoku/>
        <w:wordWrap/>
        <w:overflowPunct/>
        <w:topLinePunct w:val="0"/>
        <w:autoSpaceDE/>
        <w:autoSpaceDN/>
        <w:bidi w:val="0"/>
        <w:adjustRightInd/>
        <w:snapToGrid/>
        <w:spacing w:before="1" w:line="360" w:lineRule="auto"/>
        <w:textAlignment w:val="auto"/>
        <w:rPr>
          <w:rFonts w:hint="eastAsia" w:ascii="仿宋_GB2312" w:hAnsi="仿宋_GB2312" w:eastAsia="仿宋_GB2312" w:cs="仿宋_GB2312"/>
          <w:kern w:val="2"/>
          <w:sz w:val="28"/>
          <w:szCs w:val="36"/>
          <w:lang w:val="en-US" w:eastAsia="zh-CN" w:bidi="ar-SA"/>
        </w:rPr>
      </w:pPr>
      <w:r>
        <w:rPr>
          <w:rFonts w:hint="eastAsia" w:ascii="仿宋_GB2312" w:hAnsi="仿宋_GB2312" w:eastAsia="仿宋_GB2312" w:cs="仿宋_GB2312"/>
          <w:kern w:val="2"/>
          <w:sz w:val="28"/>
          <w:szCs w:val="36"/>
          <w:lang w:val="en-US" w:eastAsia="zh-CN" w:bidi="ar-SA"/>
        </w:rPr>
        <w:t>A、施工人员伤亡补偿金          B、施工机械损坏损失</w:t>
      </w:r>
    </w:p>
    <w:p>
      <w:pPr>
        <w:pStyle w:val="2"/>
        <w:keepNext w:val="0"/>
        <w:keepLines w:val="0"/>
        <w:pageBreakBefore w:val="0"/>
        <w:widowControl/>
        <w:kinsoku/>
        <w:wordWrap/>
        <w:overflowPunct/>
        <w:topLinePunct w:val="0"/>
        <w:autoSpaceDE/>
        <w:autoSpaceDN/>
        <w:bidi w:val="0"/>
        <w:adjustRightInd/>
        <w:snapToGrid/>
        <w:spacing w:before="1" w:line="360" w:lineRule="auto"/>
        <w:textAlignment w:val="auto"/>
        <w:rPr>
          <w:rFonts w:hint="eastAsia" w:ascii="仿宋_GB2312" w:hAnsi="仿宋_GB2312" w:eastAsia="仿宋_GB2312" w:cs="仿宋_GB2312"/>
          <w:kern w:val="2"/>
          <w:sz w:val="28"/>
          <w:szCs w:val="36"/>
          <w:lang w:val="en-US" w:eastAsia="zh-CN" w:bidi="ar-SA"/>
        </w:rPr>
      </w:pPr>
      <w:r>
        <w:rPr>
          <w:rFonts w:hint="eastAsia" w:ascii="仿宋_GB2312" w:hAnsi="仿宋_GB2312" w:eastAsia="仿宋_GB2312" w:cs="仿宋_GB2312"/>
          <w:kern w:val="2"/>
          <w:sz w:val="28"/>
          <w:szCs w:val="36"/>
          <w:lang w:val="en-US" w:eastAsia="zh-CN" w:bidi="ar-SA"/>
        </w:rPr>
        <w:t>C、承包人停工损失              D、修复已完工程的费用</w:t>
      </w:r>
    </w:p>
    <w:p>
      <w:pPr>
        <w:spacing w:after="0" w:line="360" w:lineRule="auto"/>
        <w:ind w:left="0" w:leftChars="0" w:firstLine="0" w:firstLineChars="0"/>
        <w:jc w:val="both"/>
        <w:rPr>
          <w:rFonts w:hint="eastAsia" w:ascii="仿宋_GB2312" w:hAnsi="仿宋_GB2312" w:eastAsia="仿宋_GB2312" w:cs="仿宋_GB2312"/>
          <w:color w:val="auto"/>
          <w:kern w:val="2"/>
          <w:sz w:val="28"/>
          <w:szCs w:val="28"/>
          <w:lang w:val="en-US" w:eastAsia="zh-CN" w:bidi="ar"/>
        </w:rPr>
      </w:pPr>
      <w:r>
        <w:rPr>
          <w:rFonts w:hint="eastAsia" w:ascii="仿宋_GB2312" w:hAnsi="仿宋_GB2312" w:eastAsia="仿宋_GB2312" w:cs="仿宋_GB2312"/>
          <w:color w:val="auto"/>
          <w:kern w:val="2"/>
          <w:sz w:val="28"/>
          <w:szCs w:val="28"/>
          <w:lang w:val="en-US" w:eastAsia="zh-CN" w:bidi="ar"/>
        </w:rPr>
        <w:t>8.采用简易计税方法计算建筑业增值税应纳税额时，增值税征收率为（  ）。</w:t>
      </w:r>
    </w:p>
    <w:p>
      <w:pPr>
        <w:spacing w:after="0" w:line="360" w:lineRule="auto"/>
        <w:jc w:val="both"/>
        <w:rPr>
          <w:rFonts w:hint="eastAsia" w:ascii="仿宋_GB2312" w:hAnsi="仿宋_GB2312" w:eastAsia="仿宋_GB2312" w:cs="仿宋_GB2312"/>
          <w:color w:val="auto"/>
          <w:kern w:val="2"/>
          <w:sz w:val="28"/>
          <w:szCs w:val="28"/>
          <w:lang w:val="en-US" w:eastAsia="zh-CN" w:bidi="ar"/>
        </w:rPr>
      </w:pPr>
      <w:r>
        <w:rPr>
          <w:rFonts w:hint="eastAsia" w:ascii="仿宋_GB2312" w:hAnsi="仿宋_GB2312" w:eastAsia="仿宋_GB2312" w:cs="仿宋_GB2312"/>
          <w:color w:val="auto"/>
          <w:kern w:val="2"/>
          <w:sz w:val="28"/>
          <w:szCs w:val="28"/>
          <w:lang w:val="en-US" w:eastAsia="zh-CN" w:bidi="ar"/>
        </w:rPr>
        <w:t>A、6%       B、9%       C、3%       D、13%</w:t>
      </w:r>
    </w:p>
    <w:p>
      <w:pPr>
        <w:pStyle w:val="2"/>
        <w:keepNext w:val="0"/>
        <w:keepLines w:val="0"/>
        <w:pageBreakBefore w:val="0"/>
        <w:widowControl/>
        <w:kinsoku/>
        <w:wordWrap/>
        <w:overflowPunct/>
        <w:topLinePunct w:val="0"/>
        <w:autoSpaceDE/>
        <w:autoSpaceDN/>
        <w:bidi w:val="0"/>
        <w:adjustRightInd/>
        <w:snapToGrid/>
        <w:spacing w:before="1" w:line="360" w:lineRule="auto"/>
        <w:textAlignment w:val="auto"/>
        <w:rPr>
          <w:rFonts w:hint="eastAsia" w:ascii="仿宋_GB2312" w:hAnsi="仿宋_GB2312" w:eastAsia="仿宋_GB2312" w:cs="仿宋_GB2312"/>
          <w:color w:val="auto"/>
          <w:kern w:val="2"/>
          <w:sz w:val="28"/>
          <w:szCs w:val="28"/>
          <w:lang w:val="en-US" w:eastAsia="zh-CN" w:bidi="ar"/>
        </w:rPr>
      </w:pPr>
      <w:r>
        <w:rPr>
          <w:rFonts w:hint="eastAsia" w:ascii="仿宋_GB2312" w:hAnsi="仿宋_GB2312" w:eastAsia="仿宋_GB2312" w:cs="仿宋_GB2312"/>
          <w:color w:val="auto"/>
          <w:kern w:val="2"/>
          <w:sz w:val="28"/>
          <w:szCs w:val="28"/>
          <w:lang w:val="en-US" w:eastAsia="zh-CN" w:bidi="ar"/>
        </w:rPr>
        <w:t>9.根据《建设工程合同(示范文本)》,承包人向监理人正式递交索赔报告应在发出索赔意向通知书后(  )天内。</w:t>
      </w:r>
    </w:p>
    <w:p>
      <w:pPr>
        <w:pStyle w:val="2"/>
        <w:keepNext w:val="0"/>
        <w:keepLines w:val="0"/>
        <w:pageBreakBefore w:val="0"/>
        <w:widowControl/>
        <w:kinsoku/>
        <w:wordWrap/>
        <w:overflowPunct/>
        <w:topLinePunct w:val="0"/>
        <w:autoSpaceDE/>
        <w:autoSpaceDN/>
        <w:bidi w:val="0"/>
        <w:adjustRightInd/>
        <w:snapToGrid/>
        <w:spacing w:before="1" w:line="360" w:lineRule="auto"/>
        <w:textAlignment w:val="auto"/>
        <w:rPr>
          <w:rFonts w:hint="eastAsia" w:ascii="仿宋_GB2312" w:hAnsi="仿宋_GB2312" w:eastAsia="仿宋_GB2312" w:cs="仿宋_GB2312"/>
          <w:color w:val="auto"/>
          <w:kern w:val="2"/>
          <w:sz w:val="28"/>
          <w:szCs w:val="28"/>
          <w:lang w:val="en-US" w:eastAsia="zh-CN" w:bidi="ar"/>
        </w:rPr>
      </w:pPr>
      <w:r>
        <w:rPr>
          <w:rFonts w:hint="eastAsia" w:ascii="仿宋_GB2312" w:hAnsi="仿宋_GB2312" w:eastAsia="仿宋_GB2312" w:cs="仿宋_GB2312"/>
          <w:color w:val="auto"/>
          <w:kern w:val="2"/>
          <w:sz w:val="28"/>
          <w:szCs w:val="28"/>
          <w:lang w:val="en-US" w:eastAsia="zh-CN" w:bidi="ar"/>
        </w:rPr>
        <w:t>A.14         B.28         C.21         D.56</w:t>
      </w:r>
    </w:p>
    <w:p>
      <w:pPr>
        <w:pStyle w:val="2"/>
        <w:keepNext w:val="0"/>
        <w:keepLines w:val="0"/>
        <w:pageBreakBefore w:val="0"/>
        <w:widowControl/>
        <w:kinsoku/>
        <w:wordWrap/>
        <w:overflowPunct/>
        <w:topLinePunct w:val="0"/>
        <w:autoSpaceDE/>
        <w:autoSpaceDN/>
        <w:bidi w:val="0"/>
        <w:adjustRightInd/>
        <w:snapToGrid/>
        <w:spacing w:before="1" w:line="360" w:lineRule="auto"/>
        <w:textAlignment w:val="auto"/>
        <w:rPr>
          <w:rFonts w:hint="eastAsia" w:ascii="仿宋_GB2312" w:hAnsi="仿宋_GB2312" w:eastAsia="仿宋_GB2312" w:cs="仿宋_GB2312"/>
          <w:color w:val="auto"/>
          <w:kern w:val="2"/>
          <w:sz w:val="28"/>
          <w:szCs w:val="28"/>
          <w:lang w:val="en-US" w:eastAsia="zh-CN" w:bidi="ar"/>
        </w:rPr>
      </w:pPr>
      <w:r>
        <w:rPr>
          <w:rFonts w:hint="eastAsia" w:ascii="仿宋_GB2312" w:hAnsi="仿宋_GB2312" w:eastAsia="仿宋_GB2312" w:cs="仿宋_GB2312"/>
          <w:color w:val="auto"/>
          <w:kern w:val="2"/>
          <w:sz w:val="28"/>
          <w:szCs w:val="28"/>
          <w:lang w:val="en-US" w:eastAsia="zh-CN" w:bidi="ar"/>
        </w:rPr>
        <w:t>10.根据《建设工程质量保证金管理办法》（建质【2017】138号），质量保证金总预留比例不得高于工程价 款结算总额的（  ）。</w:t>
      </w:r>
    </w:p>
    <w:p>
      <w:pPr>
        <w:pStyle w:val="2"/>
        <w:keepNext w:val="0"/>
        <w:keepLines w:val="0"/>
        <w:pageBreakBefore w:val="0"/>
        <w:widowControl/>
        <w:kinsoku/>
        <w:wordWrap/>
        <w:overflowPunct/>
        <w:topLinePunct w:val="0"/>
        <w:autoSpaceDE/>
        <w:autoSpaceDN/>
        <w:bidi w:val="0"/>
        <w:adjustRightInd/>
        <w:snapToGrid/>
        <w:spacing w:before="1" w:line="360" w:lineRule="auto"/>
        <w:textAlignment w:val="auto"/>
        <w:rPr>
          <w:rFonts w:hint="eastAsia" w:ascii="仿宋_GB2312" w:hAnsi="仿宋_GB2312" w:eastAsia="仿宋_GB2312" w:cs="仿宋_GB2312"/>
          <w:color w:val="auto"/>
          <w:kern w:val="2"/>
          <w:sz w:val="28"/>
          <w:szCs w:val="28"/>
          <w:lang w:val="en-US" w:eastAsia="zh-CN" w:bidi="ar"/>
        </w:rPr>
      </w:pPr>
      <w:r>
        <w:rPr>
          <w:rFonts w:hint="eastAsia" w:ascii="仿宋_GB2312" w:hAnsi="仿宋_GB2312" w:eastAsia="仿宋_GB2312" w:cs="仿宋_GB2312"/>
          <w:color w:val="auto"/>
          <w:kern w:val="2"/>
          <w:sz w:val="28"/>
          <w:szCs w:val="28"/>
          <w:lang w:val="en-US" w:eastAsia="zh-CN" w:bidi="ar"/>
        </w:rPr>
        <w:t>A、19%        B、2%        C、3%        D、5%</w:t>
      </w:r>
    </w:p>
    <w:p>
      <w:pPr>
        <w:pStyle w:val="2"/>
        <w:keepNext w:val="0"/>
        <w:keepLines w:val="0"/>
        <w:pageBreakBefore w:val="0"/>
        <w:widowControl/>
        <w:kinsoku/>
        <w:wordWrap/>
        <w:overflowPunct/>
        <w:topLinePunct w:val="0"/>
        <w:autoSpaceDE/>
        <w:autoSpaceDN/>
        <w:bidi w:val="0"/>
        <w:adjustRightInd/>
        <w:snapToGrid/>
        <w:spacing w:before="1" w:line="360" w:lineRule="auto"/>
        <w:textAlignment w:val="auto"/>
        <w:rPr>
          <w:rFonts w:hint="eastAsia" w:ascii="仿宋_GB2312" w:hAnsi="仿宋_GB2312" w:eastAsia="仿宋_GB2312" w:cs="仿宋_GB2312"/>
          <w:color w:val="auto"/>
          <w:kern w:val="2"/>
          <w:sz w:val="28"/>
          <w:szCs w:val="28"/>
          <w:lang w:val="en-US" w:eastAsia="zh-CN" w:bidi="ar"/>
        </w:rPr>
      </w:pPr>
      <w:r>
        <w:rPr>
          <w:rFonts w:hint="eastAsia" w:ascii="仿宋_GB2312" w:hAnsi="仿宋_GB2312" w:eastAsia="仿宋_GB2312" w:cs="仿宋_GB2312"/>
          <w:color w:val="auto"/>
          <w:kern w:val="2"/>
          <w:sz w:val="28"/>
          <w:szCs w:val="28"/>
          <w:lang w:val="en-US" w:eastAsia="zh-CN" w:bidi="ar"/>
        </w:rPr>
        <w:t>11.工程造价在量上和（ ）相等。</w:t>
      </w:r>
    </w:p>
    <w:p>
      <w:pPr>
        <w:pStyle w:val="2"/>
        <w:keepNext w:val="0"/>
        <w:keepLines w:val="0"/>
        <w:pageBreakBefore w:val="0"/>
        <w:widowControl/>
        <w:kinsoku/>
        <w:wordWrap/>
        <w:overflowPunct/>
        <w:topLinePunct w:val="0"/>
        <w:autoSpaceDE/>
        <w:autoSpaceDN/>
        <w:bidi w:val="0"/>
        <w:adjustRightInd/>
        <w:snapToGrid/>
        <w:spacing w:before="1" w:line="360" w:lineRule="auto"/>
        <w:textAlignment w:val="auto"/>
        <w:rPr>
          <w:rFonts w:hint="eastAsia" w:ascii="仿宋_GB2312" w:hAnsi="仿宋_GB2312" w:eastAsia="仿宋_GB2312" w:cs="仿宋_GB2312"/>
          <w:color w:val="auto"/>
          <w:kern w:val="2"/>
          <w:sz w:val="28"/>
          <w:szCs w:val="28"/>
          <w:lang w:val="en-US" w:eastAsia="zh-CN" w:bidi="ar"/>
        </w:rPr>
      </w:pPr>
      <w:r>
        <w:rPr>
          <w:rFonts w:hint="eastAsia" w:ascii="仿宋_GB2312" w:hAnsi="仿宋_GB2312" w:eastAsia="仿宋_GB2312" w:cs="仿宋_GB2312"/>
          <w:color w:val="auto"/>
          <w:kern w:val="2"/>
          <w:sz w:val="28"/>
          <w:szCs w:val="28"/>
          <w:lang w:val="en-US" w:eastAsia="zh-CN" w:bidi="ar"/>
        </w:rPr>
        <w:t xml:space="preserve">A.固定资产投资和流动资产投资之和       </w:t>
      </w:r>
    </w:p>
    <w:p>
      <w:pPr>
        <w:pStyle w:val="2"/>
        <w:keepNext w:val="0"/>
        <w:keepLines w:val="0"/>
        <w:pageBreakBefore w:val="0"/>
        <w:widowControl/>
        <w:kinsoku/>
        <w:wordWrap/>
        <w:overflowPunct/>
        <w:topLinePunct w:val="0"/>
        <w:autoSpaceDE/>
        <w:autoSpaceDN/>
        <w:bidi w:val="0"/>
        <w:adjustRightInd/>
        <w:snapToGrid/>
        <w:spacing w:before="1" w:line="360" w:lineRule="auto"/>
        <w:textAlignment w:val="auto"/>
        <w:rPr>
          <w:rFonts w:hint="eastAsia" w:ascii="仿宋_GB2312" w:hAnsi="仿宋_GB2312" w:eastAsia="仿宋_GB2312" w:cs="仿宋_GB2312"/>
          <w:color w:val="auto"/>
          <w:kern w:val="2"/>
          <w:sz w:val="28"/>
          <w:szCs w:val="28"/>
          <w:lang w:val="en-US" w:eastAsia="zh-CN" w:bidi="ar"/>
        </w:rPr>
      </w:pPr>
      <w:r>
        <w:rPr>
          <w:rFonts w:hint="eastAsia" w:ascii="仿宋_GB2312" w:hAnsi="仿宋_GB2312" w:eastAsia="仿宋_GB2312" w:cs="仿宋_GB2312"/>
          <w:color w:val="auto"/>
          <w:kern w:val="2"/>
          <w:sz w:val="28"/>
          <w:szCs w:val="28"/>
          <w:lang w:val="en-US" w:eastAsia="zh-CN" w:bidi="ar"/>
        </w:rPr>
        <w:t>B.固定资产与流动资金之和</w:t>
      </w:r>
    </w:p>
    <w:p>
      <w:pPr>
        <w:pStyle w:val="2"/>
        <w:keepNext w:val="0"/>
        <w:keepLines w:val="0"/>
        <w:pageBreakBefore w:val="0"/>
        <w:widowControl/>
        <w:kinsoku/>
        <w:wordWrap/>
        <w:overflowPunct/>
        <w:topLinePunct w:val="0"/>
        <w:autoSpaceDE/>
        <w:autoSpaceDN/>
        <w:bidi w:val="0"/>
        <w:adjustRightInd/>
        <w:snapToGrid/>
        <w:spacing w:before="1" w:line="360" w:lineRule="auto"/>
        <w:textAlignment w:val="auto"/>
        <w:rPr>
          <w:rFonts w:hint="eastAsia" w:ascii="仿宋_GB2312" w:hAnsi="仿宋_GB2312" w:eastAsia="仿宋_GB2312" w:cs="仿宋_GB2312"/>
          <w:color w:val="auto"/>
          <w:kern w:val="2"/>
          <w:sz w:val="28"/>
          <w:szCs w:val="28"/>
          <w:lang w:val="en-US" w:eastAsia="zh-CN" w:bidi="ar"/>
        </w:rPr>
      </w:pPr>
      <w:r>
        <w:rPr>
          <w:rFonts w:hint="eastAsia" w:ascii="仿宋_GB2312" w:hAnsi="仿宋_GB2312" w:eastAsia="仿宋_GB2312" w:cs="仿宋_GB2312"/>
          <w:color w:val="auto"/>
          <w:kern w:val="2"/>
          <w:sz w:val="28"/>
          <w:szCs w:val="28"/>
          <w:lang w:val="en-US" w:eastAsia="zh-CN" w:bidi="ar"/>
        </w:rPr>
        <w:t xml:space="preserve">C.固定资产投资                         </w:t>
      </w:r>
    </w:p>
    <w:p>
      <w:pPr>
        <w:pStyle w:val="2"/>
        <w:keepNext w:val="0"/>
        <w:keepLines w:val="0"/>
        <w:pageBreakBefore w:val="0"/>
        <w:widowControl/>
        <w:kinsoku/>
        <w:wordWrap/>
        <w:overflowPunct/>
        <w:topLinePunct w:val="0"/>
        <w:autoSpaceDE/>
        <w:autoSpaceDN/>
        <w:bidi w:val="0"/>
        <w:adjustRightInd/>
        <w:snapToGrid/>
        <w:spacing w:before="1" w:line="360" w:lineRule="auto"/>
        <w:textAlignment w:val="auto"/>
        <w:rPr>
          <w:rFonts w:hint="eastAsia" w:ascii="仿宋_GB2312" w:hAnsi="仿宋_GB2312" w:eastAsia="仿宋_GB2312" w:cs="仿宋_GB2312"/>
          <w:color w:val="auto"/>
          <w:kern w:val="2"/>
          <w:sz w:val="28"/>
          <w:szCs w:val="28"/>
          <w:lang w:val="en-US" w:eastAsia="zh-CN" w:bidi="ar"/>
        </w:rPr>
      </w:pPr>
      <w:r>
        <w:rPr>
          <w:rFonts w:hint="eastAsia" w:ascii="仿宋_GB2312" w:hAnsi="仿宋_GB2312" w:eastAsia="仿宋_GB2312" w:cs="仿宋_GB2312"/>
          <w:color w:val="auto"/>
          <w:kern w:val="2"/>
          <w:sz w:val="28"/>
          <w:szCs w:val="28"/>
          <w:lang w:val="en-US" w:eastAsia="zh-CN" w:bidi="ar"/>
        </w:rPr>
        <w:t>D.流动资产投资</w:t>
      </w:r>
    </w:p>
    <w:p>
      <w:pPr>
        <w:pStyle w:val="2"/>
        <w:keepNext w:val="0"/>
        <w:keepLines w:val="0"/>
        <w:pageBreakBefore w:val="0"/>
        <w:widowControl/>
        <w:kinsoku/>
        <w:wordWrap/>
        <w:overflowPunct/>
        <w:topLinePunct w:val="0"/>
        <w:autoSpaceDE/>
        <w:autoSpaceDN/>
        <w:bidi w:val="0"/>
        <w:adjustRightInd/>
        <w:snapToGrid/>
        <w:spacing w:before="1" w:line="360" w:lineRule="auto"/>
        <w:textAlignment w:val="auto"/>
        <w:rPr>
          <w:rFonts w:hint="eastAsia" w:ascii="仿宋_GB2312" w:hAnsi="仿宋_GB2312" w:eastAsia="仿宋_GB2312" w:cs="仿宋_GB2312"/>
          <w:color w:val="auto"/>
          <w:kern w:val="2"/>
          <w:sz w:val="28"/>
          <w:szCs w:val="28"/>
          <w:lang w:val="en-US" w:eastAsia="zh-CN" w:bidi="ar"/>
        </w:rPr>
      </w:pPr>
      <w:r>
        <w:rPr>
          <w:rFonts w:hint="eastAsia" w:ascii="仿宋_GB2312" w:hAnsi="仿宋_GB2312" w:eastAsia="仿宋_GB2312" w:cs="仿宋_GB2312"/>
          <w:color w:val="auto"/>
          <w:kern w:val="2"/>
          <w:sz w:val="28"/>
          <w:szCs w:val="28"/>
          <w:lang w:val="en-US" w:eastAsia="zh-CN" w:bidi="ar"/>
        </w:rPr>
        <w:t>12.编制预算定额人工日消耗量时，实际工程现场运距超过预算定额取定运距时的用工应计入（ ）。</w:t>
      </w:r>
    </w:p>
    <w:p>
      <w:pPr>
        <w:pStyle w:val="2"/>
        <w:keepNext w:val="0"/>
        <w:keepLines w:val="0"/>
        <w:pageBreakBefore w:val="0"/>
        <w:widowControl/>
        <w:kinsoku/>
        <w:wordWrap/>
        <w:overflowPunct/>
        <w:topLinePunct w:val="0"/>
        <w:autoSpaceDE/>
        <w:autoSpaceDN/>
        <w:bidi w:val="0"/>
        <w:adjustRightInd/>
        <w:snapToGrid/>
        <w:spacing w:before="1" w:line="360" w:lineRule="auto"/>
        <w:textAlignment w:val="auto"/>
        <w:rPr>
          <w:rFonts w:hint="eastAsia" w:ascii="仿宋_GB2312" w:hAnsi="仿宋_GB2312" w:eastAsia="仿宋_GB2312" w:cs="仿宋_GB2312"/>
          <w:color w:val="auto"/>
          <w:kern w:val="2"/>
          <w:sz w:val="28"/>
          <w:szCs w:val="28"/>
          <w:lang w:val="en-US" w:eastAsia="zh-CN" w:bidi="ar"/>
        </w:rPr>
      </w:pPr>
      <w:r>
        <w:rPr>
          <w:rFonts w:hint="eastAsia" w:ascii="仿宋_GB2312" w:hAnsi="仿宋_GB2312" w:eastAsia="仿宋_GB2312" w:cs="仿宋_GB2312"/>
          <w:color w:val="auto"/>
          <w:kern w:val="2"/>
          <w:sz w:val="28"/>
          <w:szCs w:val="28"/>
          <w:lang w:val="en-US" w:eastAsia="zh-CN" w:bidi="ar"/>
        </w:rPr>
        <w:t xml:space="preserve">A.超运距用工       B.辅助用工      </w:t>
      </w:r>
    </w:p>
    <w:p>
      <w:pPr>
        <w:pStyle w:val="2"/>
        <w:keepNext w:val="0"/>
        <w:keepLines w:val="0"/>
        <w:pageBreakBefore w:val="0"/>
        <w:widowControl/>
        <w:kinsoku/>
        <w:wordWrap/>
        <w:overflowPunct/>
        <w:topLinePunct w:val="0"/>
        <w:autoSpaceDE/>
        <w:autoSpaceDN/>
        <w:bidi w:val="0"/>
        <w:adjustRightInd/>
        <w:snapToGrid/>
        <w:spacing w:before="1" w:line="360" w:lineRule="auto"/>
        <w:textAlignment w:val="auto"/>
        <w:rPr>
          <w:rFonts w:hint="eastAsia" w:ascii="仿宋_GB2312" w:hAnsi="仿宋_GB2312" w:eastAsia="仿宋_GB2312" w:cs="仿宋_GB2312"/>
          <w:color w:val="auto"/>
          <w:kern w:val="2"/>
          <w:sz w:val="28"/>
          <w:szCs w:val="28"/>
          <w:lang w:val="en-US" w:eastAsia="zh-CN" w:bidi="ar"/>
        </w:rPr>
      </w:pPr>
      <w:r>
        <w:rPr>
          <w:rFonts w:hint="eastAsia" w:ascii="仿宋_GB2312" w:hAnsi="仿宋_GB2312" w:eastAsia="仿宋_GB2312" w:cs="仿宋_GB2312"/>
          <w:color w:val="auto"/>
          <w:kern w:val="2"/>
          <w:sz w:val="28"/>
          <w:szCs w:val="28"/>
          <w:lang w:val="en-US" w:eastAsia="zh-CN" w:bidi="ar"/>
        </w:rPr>
        <w:t>C.二次搬运用工     D.人工幅度差</w:t>
      </w:r>
    </w:p>
    <w:p>
      <w:pPr>
        <w:pStyle w:val="2"/>
        <w:keepNext w:val="0"/>
        <w:keepLines w:val="0"/>
        <w:pageBreakBefore w:val="0"/>
        <w:widowControl/>
        <w:kinsoku/>
        <w:wordWrap/>
        <w:overflowPunct/>
        <w:topLinePunct w:val="0"/>
        <w:autoSpaceDE/>
        <w:autoSpaceDN/>
        <w:bidi w:val="0"/>
        <w:adjustRightInd/>
        <w:snapToGrid/>
        <w:spacing w:before="1" w:line="360" w:lineRule="auto"/>
        <w:textAlignment w:val="auto"/>
        <w:rPr>
          <w:rFonts w:hint="eastAsia" w:ascii="仿宋_GB2312" w:hAnsi="仿宋_GB2312" w:eastAsia="仿宋_GB2312" w:cs="仿宋_GB2312"/>
          <w:color w:val="auto"/>
          <w:kern w:val="2"/>
          <w:sz w:val="28"/>
          <w:szCs w:val="28"/>
          <w:lang w:val="en-US" w:eastAsia="zh-CN" w:bidi="ar"/>
        </w:rPr>
      </w:pPr>
      <w:r>
        <w:rPr>
          <w:rFonts w:hint="eastAsia" w:ascii="仿宋_GB2312" w:hAnsi="仿宋_GB2312" w:eastAsia="仿宋_GB2312" w:cs="仿宋_GB2312"/>
          <w:color w:val="auto"/>
          <w:kern w:val="2"/>
          <w:sz w:val="28"/>
          <w:szCs w:val="28"/>
          <w:lang w:val="en-US" w:eastAsia="zh-CN" w:bidi="ar"/>
        </w:rPr>
        <w:t>13.根据《建设工程工程量清单计价规范》(GB50500—2013)，招标控制价的综合单价组价工作包括：①确定工、料、机单价；②确定所组价定额项目名称；③计算组价定额项目的合价；④除以工程量清单项目工程量；⑤计算组价定额项目工程量，下列工作排序正确的是（ ）。</w:t>
      </w:r>
    </w:p>
    <w:p>
      <w:pPr>
        <w:pStyle w:val="2"/>
        <w:keepNext w:val="0"/>
        <w:keepLines w:val="0"/>
        <w:pageBreakBefore w:val="0"/>
        <w:widowControl/>
        <w:kinsoku/>
        <w:wordWrap/>
        <w:overflowPunct/>
        <w:topLinePunct w:val="0"/>
        <w:autoSpaceDE/>
        <w:autoSpaceDN/>
        <w:bidi w:val="0"/>
        <w:adjustRightInd/>
        <w:snapToGrid/>
        <w:spacing w:before="1" w:line="360" w:lineRule="auto"/>
        <w:textAlignment w:val="auto"/>
        <w:rPr>
          <w:rFonts w:hint="eastAsia" w:ascii="仿宋_GB2312" w:hAnsi="仿宋_GB2312" w:eastAsia="仿宋_GB2312" w:cs="仿宋_GB2312"/>
          <w:color w:val="auto"/>
          <w:kern w:val="2"/>
          <w:sz w:val="28"/>
          <w:szCs w:val="28"/>
          <w:lang w:val="en-US" w:eastAsia="zh-CN" w:bidi="ar"/>
        </w:rPr>
      </w:pPr>
      <w:r>
        <w:rPr>
          <w:rFonts w:hint="eastAsia" w:ascii="仿宋_GB2312" w:hAnsi="仿宋_GB2312" w:eastAsia="仿宋_GB2312" w:cs="仿宋_GB2312"/>
          <w:color w:val="auto"/>
          <w:kern w:val="2"/>
          <w:sz w:val="28"/>
          <w:szCs w:val="28"/>
          <w:lang w:val="en-US" w:eastAsia="zh-CN" w:bidi="ar"/>
        </w:rPr>
        <w:t>A.②⑤①③④                         B.①②⑤④③</w:t>
      </w:r>
    </w:p>
    <w:p>
      <w:pPr>
        <w:pStyle w:val="2"/>
        <w:keepNext w:val="0"/>
        <w:keepLines w:val="0"/>
        <w:pageBreakBefore w:val="0"/>
        <w:widowControl/>
        <w:kinsoku/>
        <w:wordWrap/>
        <w:overflowPunct/>
        <w:topLinePunct w:val="0"/>
        <w:autoSpaceDE/>
        <w:autoSpaceDN/>
        <w:bidi w:val="0"/>
        <w:adjustRightInd/>
        <w:snapToGrid/>
        <w:spacing w:before="1" w:line="360" w:lineRule="auto"/>
        <w:textAlignment w:val="auto"/>
        <w:rPr>
          <w:rFonts w:hint="eastAsia" w:ascii="仿宋_GB2312" w:hAnsi="仿宋_GB2312" w:eastAsia="仿宋_GB2312" w:cs="仿宋_GB2312"/>
          <w:color w:val="auto"/>
          <w:kern w:val="2"/>
          <w:sz w:val="28"/>
          <w:szCs w:val="28"/>
          <w:lang w:val="en-US" w:eastAsia="zh-CN" w:bidi="ar"/>
        </w:rPr>
      </w:pPr>
      <w:r>
        <w:rPr>
          <w:rFonts w:hint="eastAsia" w:ascii="仿宋_GB2312" w:hAnsi="仿宋_GB2312" w:eastAsia="仿宋_GB2312" w:cs="仿宋_GB2312"/>
          <w:color w:val="auto"/>
          <w:kern w:val="2"/>
          <w:sz w:val="28"/>
          <w:szCs w:val="28"/>
          <w:lang w:val="en-US" w:eastAsia="zh-CN" w:bidi="ar"/>
        </w:rPr>
        <w:t>C.②③①⑤④                         D.①②③④⑤</w:t>
      </w:r>
    </w:p>
    <w:p>
      <w:pPr>
        <w:pStyle w:val="2"/>
        <w:keepNext w:val="0"/>
        <w:keepLines w:val="0"/>
        <w:pageBreakBefore w:val="0"/>
        <w:widowControl/>
        <w:kinsoku/>
        <w:wordWrap/>
        <w:overflowPunct/>
        <w:topLinePunct w:val="0"/>
        <w:autoSpaceDE/>
        <w:autoSpaceDN/>
        <w:bidi w:val="0"/>
        <w:adjustRightInd/>
        <w:snapToGrid/>
        <w:spacing w:before="1" w:line="360" w:lineRule="auto"/>
        <w:textAlignment w:val="auto"/>
        <w:rPr>
          <w:rFonts w:hint="eastAsia" w:ascii="仿宋_GB2312" w:hAnsi="仿宋_GB2312" w:eastAsia="仿宋_GB2312" w:cs="仿宋_GB2312"/>
          <w:color w:val="auto"/>
          <w:kern w:val="2"/>
          <w:sz w:val="28"/>
          <w:szCs w:val="28"/>
          <w:lang w:val="en-US" w:eastAsia="zh-CN" w:bidi="ar"/>
        </w:rPr>
      </w:pPr>
      <w:r>
        <w:rPr>
          <w:rFonts w:hint="eastAsia" w:ascii="仿宋_GB2312" w:hAnsi="仿宋_GB2312" w:eastAsia="仿宋_GB2312" w:cs="仿宋_GB2312"/>
          <w:color w:val="auto"/>
          <w:kern w:val="2"/>
          <w:sz w:val="28"/>
          <w:szCs w:val="28"/>
          <w:lang w:val="en-US" w:eastAsia="zh-CN" w:bidi="ar"/>
        </w:rPr>
        <w:t>14.修正概算是在（ ）阶段确定工程造价的文件。</w:t>
      </w:r>
    </w:p>
    <w:p>
      <w:pPr>
        <w:pStyle w:val="2"/>
        <w:keepNext w:val="0"/>
        <w:keepLines w:val="0"/>
        <w:pageBreakBefore w:val="0"/>
        <w:widowControl/>
        <w:kinsoku/>
        <w:wordWrap/>
        <w:overflowPunct/>
        <w:topLinePunct w:val="0"/>
        <w:autoSpaceDE/>
        <w:autoSpaceDN/>
        <w:bidi w:val="0"/>
        <w:adjustRightInd/>
        <w:snapToGrid/>
        <w:spacing w:before="1" w:line="360" w:lineRule="auto"/>
        <w:textAlignment w:val="auto"/>
        <w:rPr>
          <w:rFonts w:hint="eastAsia" w:ascii="仿宋_GB2312" w:hAnsi="仿宋_GB2312" w:eastAsia="仿宋_GB2312" w:cs="仿宋_GB2312"/>
          <w:color w:val="auto"/>
          <w:kern w:val="2"/>
          <w:sz w:val="28"/>
          <w:szCs w:val="28"/>
          <w:lang w:val="en-US" w:eastAsia="zh-CN" w:bidi="ar"/>
        </w:rPr>
      </w:pPr>
      <w:r>
        <w:rPr>
          <w:rFonts w:hint="eastAsia" w:ascii="仿宋_GB2312" w:hAnsi="仿宋_GB2312" w:eastAsia="仿宋_GB2312" w:cs="仿宋_GB2312"/>
          <w:color w:val="auto"/>
          <w:kern w:val="2"/>
          <w:sz w:val="28"/>
          <w:szCs w:val="28"/>
          <w:lang w:val="en-US" w:eastAsia="zh-CN" w:bidi="ar"/>
        </w:rPr>
        <w:t>A.方案设计    B.初步设计     C.技术设计    D.施工图设计</w:t>
      </w:r>
    </w:p>
    <w:p>
      <w:pPr>
        <w:widowControl w:val="0"/>
        <w:adjustRightInd w:val="0"/>
        <w:snapToGrid w:val="0"/>
        <w:spacing w:after="0" w:line="360" w:lineRule="auto"/>
        <w:jc w:val="both"/>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bidi="ar"/>
        </w:rPr>
        <w:t>15.</w:t>
      </w:r>
      <w:r>
        <w:rPr>
          <w:rFonts w:hint="eastAsia" w:ascii="仿宋_GB2312" w:hAnsi="仿宋_GB2312" w:eastAsia="仿宋_GB2312" w:cs="仿宋_GB2312"/>
          <w:color w:val="auto"/>
          <w:sz w:val="28"/>
          <w:szCs w:val="28"/>
          <w:lang w:bidi="ar"/>
        </w:rPr>
        <w:t>在项目建议书和可行性研究阶段编制的工程造价是（ ）。</w:t>
      </w:r>
    </w:p>
    <w:p>
      <w:pPr>
        <w:widowControl w:val="0"/>
        <w:adjustRightInd w:val="0"/>
        <w:snapToGrid w:val="0"/>
        <w:spacing w:after="0" w:line="360" w:lineRule="auto"/>
        <w:jc w:val="both"/>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bidi="ar"/>
        </w:rPr>
        <w:t>A.投资估算       B.设计概算</w:t>
      </w:r>
    </w:p>
    <w:p>
      <w:pPr>
        <w:widowControl w:val="0"/>
        <w:adjustRightInd w:val="0"/>
        <w:snapToGrid w:val="0"/>
        <w:spacing w:after="0" w:line="360" w:lineRule="auto"/>
        <w:jc w:val="both"/>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bidi="ar"/>
        </w:rPr>
        <w:t>C.施工预算       D.施工图预算</w:t>
      </w:r>
    </w:p>
    <w:p>
      <w:pPr>
        <w:widowControl w:val="0"/>
        <w:adjustRightInd w:val="0"/>
        <w:snapToGrid w:val="0"/>
        <w:spacing w:after="0" w:line="360" w:lineRule="auto"/>
        <w:jc w:val="both"/>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bidi="ar"/>
        </w:rPr>
        <w:t>16.</w:t>
      </w:r>
      <w:r>
        <w:rPr>
          <w:rFonts w:hint="eastAsia" w:ascii="仿宋_GB2312" w:hAnsi="仿宋_GB2312" w:eastAsia="仿宋_GB2312" w:cs="仿宋_GB2312"/>
          <w:color w:val="auto"/>
          <w:sz w:val="28"/>
          <w:szCs w:val="28"/>
          <w:lang w:bidi="ar"/>
        </w:rPr>
        <w:t>编制项目投资估算时，我国国内不常见，但世界银行项目常采用的方法是（ ）。</w:t>
      </w:r>
    </w:p>
    <w:p>
      <w:pPr>
        <w:widowControl w:val="0"/>
        <w:adjustRightInd w:val="0"/>
        <w:snapToGrid w:val="0"/>
        <w:spacing w:after="0" w:line="360" w:lineRule="auto"/>
        <w:jc w:val="both"/>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bidi="ar"/>
        </w:rPr>
        <w:t>A.设备系数法            B.比例估算法</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bidi="ar"/>
        </w:rPr>
      </w:pPr>
      <w:r>
        <w:rPr>
          <w:rFonts w:hint="eastAsia" w:ascii="仿宋_GB2312" w:hAnsi="仿宋_GB2312" w:eastAsia="仿宋_GB2312" w:cs="仿宋_GB2312"/>
          <w:color w:val="auto"/>
          <w:sz w:val="28"/>
          <w:szCs w:val="28"/>
          <w:lang w:bidi="ar"/>
        </w:rPr>
        <w:t>C.主体专业系数法        D.朗格系数法</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 xml:space="preserve">17.下列（ ）项费用不包含在建筑与装饰工程分部分项工程费中。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A.人工费      B.材料费      C.管理费    D.总承包服务费</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18.清单项目编码010502001002的最前二位数“01”表示（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 xml:space="preserve">A.各附录的章              B.专业代码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C.附录中各章的节          D.具体的清单项目工程名称编码</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19.</w:t>
      </w:r>
      <w:r>
        <w:rPr>
          <w:rFonts w:hint="default" w:ascii="仿宋_GB2312" w:hAnsi="仿宋_GB2312" w:eastAsia="仿宋_GB2312" w:cs="仿宋_GB2312"/>
          <w:color w:val="auto"/>
          <w:sz w:val="28"/>
          <w:szCs w:val="28"/>
          <w:lang w:val="en-US" w:eastAsia="zh-CN" w:bidi="ar"/>
        </w:rPr>
        <w:t>根据现行工程量计算规范，适宜采用分部分项工程项目清单计价方式计价的措施项目费是（ ）。</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default" w:ascii="仿宋_GB2312" w:hAnsi="仿宋_GB2312" w:eastAsia="仿宋_GB2312" w:cs="仿宋_GB2312"/>
          <w:color w:val="auto"/>
          <w:sz w:val="28"/>
          <w:szCs w:val="28"/>
          <w:lang w:val="en-US" w:eastAsia="zh-CN" w:bidi="ar"/>
        </w:rPr>
        <w:t>A.二次搬运费                  B.超高施工增加费</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default" w:ascii="仿宋_GB2312" w:hAnsi="仿宋_GB2312" w:eastAsia="仿宋_GB2312" w:cs="仿宋_GB2312"/>
          <w:color w:val="auto"/>
          <w:sz w:val="28"/>
          <w:szCs w:val="28"/>
          <w:lang w:val="en-US" w:eastAsia="zh-CN" w:bidi="ar"/>
        </w:rPr>
        <w:t>C.已完工程及设备保护费        D.地上、地下设施临时保护费</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20.招标工程量清单的项目特征中通常不需描述的内容是（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A.材料材质    B.结构部位     C.工程内容     D.规格尺寸</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21.某建设项目静态投资20000万元，项目建设前期年限为1年，建设期为2年，计划每年完成投资50%，年均投资价格上涨率为5% ，该项目建设期价差预备费为（ ）万元。</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A.1006.25      B.1525.00    C.2056.56       D.2601.25</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22.某项目施工合同约定，承包人承租的水泥价格风险幅度为±5%，超出部分采用造价信息法调差，已知投标人投标价格、基准期发布价格为440元/t、450元/t，2023 年3月的造价信息发布价为430元/t，则该月水泥的实际结算价格为（ ）元/t。</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A.418     B.427.5       C.430        D.440</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23.因不可抗力解除合同的，发包人不应向承包人支付的费用是（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 xml:space="preserve">A.临时工程拆除费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B.承包人未交付材料的货款</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 xml:space="preserve">C.已实施的措施项目应付价款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D.承包人施工设备运离现场的费用</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24.</w:t>
      </w:r>
      <w:r>
        <w:rPr>
          <w:rFonts w:hint="default" w:ascii="仿宋_GB2312" w:hAnsi="仿宋_GB2312" w:eastAsia="仿宋_GB2312" w:cs="仿宋_GB2312"/>
          <w:color w:val="auto"/>
          <w:sz w:val="28"/>
          <w:szCs w:val="28"/>
          <w:lang w:val="en-US" w:eastAsia="zh-CN" w:bidi="ar"/>
        </w:rPr>
        <w:t>关于工程变更权的说法，正确的是（ ）。</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default" w:ascii="仿宋_GB2312" w:hAnsi="仿宋_GB2312" w:eastAsia="仿宋_GB2312" w:cs="仿宋_GB2312"/>
          <w:color w:val="auto"/>
          <w:sz w:val="28"/>
          <w:szCs w:val="28"/>
          <w:lang w:val="en-US" w:eastAsia="zh-CN" w:bidi="ar"/>
        </w:rPr>
        <w:t>A.发包人与工程师均可以提出变更</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default" w:ascii="仿宋_GB2312" w:hAnsi="仿宋_GB2312" w:eastAsia="仿宋_GB2312" w:cs="仿宋_GB2312"/>
          <w:color w:val="auto"/>
          <w:sz w:val="28"/>
          <w:szCs w:val="28"/>
          <w:lang w:val="en-US" w:eastAsia="zh-CN" w:bidi="ar"/>
        </w:rPr>
        <w:t>B.发包人与承包人均可以提出变更</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default" w:ascii="仿宋_GB2312" w:hAnsi="仿宋_GB2312" w:eastAsia="仿宋_GB2312" w:cs="仿宋_GB2312"/>
          <w:color w:val="auto"/>
          <w:sz w:val="28"/>
          <w:szCs w:val="28"/>
          <w:lang w:val="en-US" w:eastAsia="zh-CN" w:bidi="ar"/>
        </w:rPr>
        <w:t>C.承包人与工程师均可以提出变更</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default" w:ascii="仿宋_GB2312" w:hAnsi="仿宋_GB2312" w:eastAsia="仿宋_GB2312" w:cs="仿宋_GB2312"/>
          <w:color w:val="auto"/>
          <w:sz w:val="28"/>
          <w:szCs w:val="28"/>
          <w:lang w:val="en-US" w:eastAsia="zh-CN" w:bidi="ar"/>
        </w:rPr>
        <w:t>D.仅工程师可以提出变更</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25.施工投投标报价工作包括：①工程现场调查；②组建投标报价班子；③确定基础标价；④制订项目管理规划；⑤复核清单工程量。下列工作排序正确的是 （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A.①④②③⑤</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B.②③④①⑤</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C.①②③④⑤</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D.②①⑤④③</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26.根据《评标委员会和评标方法暂行规定》等，评标委员会评标发现的投标报价算术错误，应由（ ）进行修正。</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A.评标委员会</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B.招标监督机构</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C.招标人</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D.投标人</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27.</w:t>
      </w:r>
      <w:r>
        <w:rPr>
          <w:rFonts w:hint="default" w:ascii="仿宋_GB2312" w:hAnsi="仿宋_GB2312" w:eastAsia="仿宋_GB2312" w:cs="仿宋_GB2312"/>
          <w:color w:val="auto"/>
          <w:sz w:val="28"/>
          <w:szCs w:val="28"/>
          <w:lang w:val="en-US" w:eastAsia="zh-CN" w:bidi="ar"/>
        </w:rPr>
        <w:t>关于联合体投标需遵循的规定，下列说法中正确的是（ ）。</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default" w:ascii="仿宋_GB2312" w:hAnsi="仿宋_GB2312" w:eastAsia="仿宋_GB2312" w:cs="仿宋_GB2312"/>
          <w:color w:val="auto"/>
          <w:sz w:val="28"/>
          <w:szCs w:val="28"/>
          <w:lang w:val="en-US" w:eastAsia="zh-CN" w:bidi="ar"/>
        </w:rPr>
        <w:t>A.联合体各方签订共同投标协议后，可再以自己名义单独投标</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default" w:ascii="仿宋_GB2312" w:hAnsi="仿宋_GB2312" w:eastAsia="仿宋_GB2312" w:cs="仿宋_GB2312"/>
          <w:color w:val="auto"/>
          <w:sz w:val="28"/>
          <w:szCs w:val="28"/>
          <w:lang w:val="en-US" w:eastAsia="zh-CN" w:bidi="ar"/>
        </w:rPr>
        <w:t>B.资格预审后联合体增减、更换成员的，其投标有效性待定</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default" w:ascii="仿宋_GB2312" w:hAnsi="仿宋_GB2312" w:eastAsia="仿宋_GB2312" w:cs="仿宋_GB2312"/>
          <w:color w:val="auto"/>
          <w:sz w:val="28"/>
          <w:szCs w:val="28"/>
          <w:lang w:val="en-US" w:eastAsia="zh-CN" w:bidi="ar"/>
        </w:rPr>
        <w:t>C.由同一专业的单位组成的联合体，按其中较高资质确定联合体资质等级</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default" w:ascii="仿宋_GB2312" w:hAnsi="仿宋_GB2312" w:eastAsia="仿宋_GB2312" w:cs="仿宋_GB2312"/>
          <w:color w:val="auto"/>
          <w:sz w:val="28"/>
          <w:szCs w:val="28"/>
          <w:lang w:val="en-US" w:eastAsia="zh-CN" w:bidi="ar"/>
        </w:rPr>
        <w:t>D.联合体投标的，可以联合体牵头人的名义提交投标保证金</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28.投标保证金的数额一般为投标价的（ ）左右，但最高不得超过（ ）万元人民币，投标保证金有效期应当超出投标有效期的（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A.2％  80  30</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B.3％  80  30</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C.2％  90  20</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D.2％  80  20</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29.下列选项不属于合同分析资料的是（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A.合同总体分析        B.网络图</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C.横道图              D.施工日记</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30.某施工机械预计使用8年,一次大修理费为4500元，寿命周期大修理次数为2次,耐用总台班为2000台班,则台班大修理费为（ ）元。</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A.6.75     B.4.50         C.0.84          D.0.56</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31.每一个台班工作时间按（ ）计算。</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A.24小时    B.12小时     C.10小时     D.8小时</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32.《xx省建筑与装饰工程消耗量定额》（20XX）反映了（ ）水平。</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 xml:space="preserve">A．社会先进     B．社会落后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C．社会平均    D．个别企业</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33.</w:t>
      </w:r>
      <w:r>
        <w:rPr>
          <w:rFonts w:hint="default" w:ascii="仿宋_GB2312" w:hAnsi="仿宋_GB2312" w:eastAsia="仿宋_GB2312" w:cs="仿宋_GB2312"/>
          <w:color w:val="auto"/>
          <w:sz w:val="28"/>
          <w:szCs w:val="28"/>
          <w:lang w:val="en-US" w:eastAsia="zh-CN" w:bidi="ar"/>
        </w:rPr>
        <w:t>某材料原价为300元/t，运杂费及运输损耗费合计为50元/t，采购及保管费费率为3%，则该材料预算单价为（ ）元/t。</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default" w:ascii="仿宋_GB2312" w:hAnsi="仿宋_GB2312" w:eastAsia="仿宋_GB2312" w:cs="仿宋_GB2312"/>
          <w:color w:val="auto"/>
          <w:sz w:val="28"/>
          <w:szCs w:val="28"/>
          <w:lang w:val="en-US" w:eastAsia="zh-CN" w:bidi="ar"/>
        </w:rPr>
        <w:t>A.350.0        B.359.0       C.360.5         D.360.8</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34</w:t>
      </w:r>
      <w:r>
        <w:rPr>
          <w:rFonts w:hint="default" w:ascii="仿宋_GB2312" w:hAnsi="仿宋_GB2312" w:eastAsia="仿宋_GB2312" w:cs="仿宋_GB2312"/>
          <w:color w:val="auto"/>
          <w:sz w:val="28"/>
          <w:szCs w:val="28"/>
          <w:lang w:val="en-US" w:eastAsia="zh-CN" w:bidi="ar"/>
        </w:rPr>
        <w:t>.编制某分项工程预算定额人工工日消耗量时，已知基本用工、辅助用工、超运距用工分别为20工日、2工日、3工日，人工幅度差系数为10%，则该分项工程单位人工工日消耗量为（ ）工日。</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default" w:ascii="仿宋_GB2312" w:hAnsi="仿宋_GB2312" w:eastAsia="仿宋_GB2312" w:cs="仿宋_GB2312"/>
          <w:color w:val="auto"/>
          <w:sz w:val="28"/>
          <w:szCs w:val="28"/>
          <w:lang w:val="en-US" w:eastAsia="zh-CN" w:bidi="ar"/>
        </w:rPr>
        <w:t>A.27.0      B.27.2         C.27.3           D.27.5</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35.关于材料单价的计算，下列计算公式中正确的是（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A.(供应价格+运杂费)×(1+运输损耗率)×(1+采购及保管费率)</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B.(供应价格+运杂费)/[(1+运输损耗率)×(1–采购及保管费率)]</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C.[(供应价格+运杂费)×(1+采购及保管费率)]/(1–采购及保管费率)</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D.[(供应价格+运杂费)×(1+运输损耗率)]/(1–采购及保管费率)</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36.关于设计概算的编制，下列计算式正确的是（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A.单位工程概算=人工费+材料费+施工机具使用费+企业管理费+利润</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B.单项工程综合概算=建筑工程费+安装工程费+设备及工器具购置费</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C.单项工程综合概算=建筑工程费+安装工程费+设备及工器具购置费+工程建设其他费用</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D.建设项目总概算=各单项工程综合概算+建设期利息+预备费</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37.某项目采用概算法编制的估算中，工程费用为8000万元，基本预备费用为880万元，价差预备费为120万元，工程建设 其他费800万，建设期利息为200万元，流动资金为100万元，则该项目为（ ）万元。</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A.9680         B.9800        C.10000      D.10100</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38.关于我国项目前期各阶段投资估算的精度要求，下列说法中正确的是（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A.项目建议书阶段，允许误差大于±30%</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B.投资设想阶段，要求误差控制在±30%以内</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C.预可行性研究阶段，要求误差控制在±20%以内</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D.可行性研究阶段，要求误差控制在±15%以内</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39.</w:t>
      </w:r>
      <w:r>
        <w:rPr>
          <w:rFonts w:hint="default" w:ascii="仿宋_GB2312" w:hAnsi="仿宋_GB2312" w:eastAsia="仿宋_GB2312" w:cs="仿宋_GB2312"/>
          <w:color w:val="auto"/>
          <w:sz w:val="28"/>
          <w:szCs w:val="28"/>
          <w:lang w:val="en-US" w:eastAsia="zh-CN" w:bidi="ar"/>
        </w:rPr>
        <w:t>关于中标人不履行与招标人订立的合同应当承担法律责任的说法，正确的是（ ）。</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default" w:ascii="仿宋_GB2312" w:hAnsi="仿宋_GB2312" w:eastAsia="仿宋_GB2312" w:cs="仿宋_GB2312"/>
          <w:color w:val="auto"/>
          <w:sz w:val="28"/>
          <w:szCs w:val="28"/>
          <w:lang w:val="en-US" w:eastAsia="zh-CN" w:bidi="ar"/>
        </w:rPr>
        <w:t>A.给招标人造成的损失超过履约保证金数额的，应当对超过部分予以赔偿</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default" w:ascii="仿宋_GB2312" w:hAnsi="仿宋_GB2312" w:eastAsia="仿宋_GB2312" w:cs="仿宋_GB2312"/>
          <w:color w:val="auto"/>
          <w:sz w:val="28"/>
          <w:szCs w:val="28"/>
          <w:lang w:val="en-US" w:eastAsia="zh-CN" w:bidi="ar"/>
        </w:rPr>
        <w:t>B.情节严重的，取消其1年至3年内参加依法必须进行招标的项目的投标资格并予以公告</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default" w:ascii="仿宋_GB2312" w:hAnsi="仿宋_GB2312" w:eastAsia="仿宋_GB2312" w:cs="仿宋_GB2312"/>
          <w:color w:val="auto"/>
          <w:sz w:val="28"/>
          <w:szCs w:val="28"/>
          <w:lang w:val="en-US" w:eastAsia="zh-CN" w:bidi="ar"/>
        </w:rPr>
        <w:t>C.履约保证金只能部分退还</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default" w:ascii="仿宋_GB2312" w:hAnsi="仿宋_GB2312" w:eastAsia="仿宋_GB2312" w:cs="仿宋_GB2312"/>
          <w:color w:val="auto"/>
          <w:sz w:val="28"/>
          <w:szCs w:val="28"/>
          <w:lang w:val="en-US" w:eastAsia="zh-CN" w:bidi="ar"/>
        </w:rPr>
        <w:t>D.一律不予退还履约保证金</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40.某固定资产原值为10万元，预计净残值为l万元，使用年限为6年，按年数总和法计提折旧，那么第3年应提折旧额为（ ）元。</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A．19420        B．21456         C．16423         D．17143</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41.若外币对人民币贬值，则关于该汇率变化对涉外项目投资额产生的影响，下列说法正确的是（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A.从国外市场购买材料，所支付的外币金额减少</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B.从国外市场购买材料，换算成人民币所支付的金额减少</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C.从国外借款，本息所支付的外币金额增加</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D.从国外借款，换算成人民币所支付的本息金额增加</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42.根据现行建设项目投资构成相关规定，固定资产投资应与（ ）相对应。</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A.工程费用+工程建设其他费用</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B.建设投资+建设期利息</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C.建设安装工程费+设备及工器具购置费</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D.建设项目总投资</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43.某建设项目投资估算中，建设管理费2000万元，可行性研究费100万元，勘察设计费5000万元，引进技术和引进设备其他费400万元。市政公用设施建设及绿化费2000万元，专利权使用费200万元。非专利技术使用费100万元，生产准备及开办费500万元，则按形成资产法编制建设投资估算表，计人固定资产其他费用、无形资产费用和其他资产费用的金额分别为（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 xml:space="preserve">A.10000万元、300万元、0万元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B.9600万元、700万元、0万元</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 xml:space="preserve">C.9500万元、300万元、500万元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D.9100万元、700万元，500万元</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44.关于联合体投标的说法，正确的是（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A.由同一专业的单位组成的联合体，按照资质等级较高的单位确定资质等级</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B.联合体各方中有一方具备承担招标项目的相应能力即可</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C.联合体中标的，联合体各方应当共同与招标人订立合同</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D.联合体各方在同一招标项目中以自己名义单独投标的，应当向评标委员会澄清、说明以哪份投标文件为准</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45.投标保证金的数额一般为投标价的（ ）左右，但最高不得超过（ ）万元人民币，投标保证金有效期应当超出投标有效期的（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A.2％  80  30</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B.3％  80  30</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C.2％  90  20</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D.2％  80  20</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46.</w:t>
      </w:r>
      <w:r>
        <w:rPr>
          <w:rFonts w:hint="default" w:ascii="仿宋_GB2312" w:hAnsi="仿宋_GB2312" w:eastAsia="仿宋_GB2312" w:cs="仿宋_GB2312"/>
          <w:color w:val="auto"/>
          <w:sz w:val="28"/>
          <w:szCs w:val="28"/>
          <w:lang w:val="en-US" w:eastAsia="zh-CN" w:bidi="ar"/>
        </w:rPr>
        <w:t>要求发包人“补偿费用损失、调整合同价格”属于（ ）。</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default" w:ascii="仿宋_GB2312" w:hAnsi="仿宋_GB2312" w:eastAsia="仿宋_GB2312" w:cs="仿宋_GB2312"/>
          <w:color w:val="auto"/>
          <w:sz w:val="28"/>
          <w:szCs w:val="28"/>
          <w:lang w:val="en-US" w:eastAsia="zh-CN" w:bidi="ar"/>
        </w:rPr>
        <w:t>A.工期索赔     B.费用索赔</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default" w:ascii="仿宋_GB2312" w:hAnsi="仿宋_GB2312" w:eastAsia="仿宋_GB2312" w:cs="仿宋_GB2312"/>
          <w:color w:val="auto"/>
          <w:sz w:val="28"/>
          <w:szCs w:val="28"/>
          <w:lang w:val="en-US" w:eastAsia="zh-CN" w:bidi="ar"/>
        </w:rPr>
        <w:t>C.变更索赔     D.其他索赔</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47</w:t>
      </w:r>
      <w:r>
        <w:rPr>
          <w:rFonts w:hint="default" w:ascii="仿宋_GB2312" w:hAnsi="仿宋_GB2312" w:eastAsia="仿宋_GB2312" w:cs="仿宋_GB2312"/>
          <w:color w:val="auto"/>
          <w:sz w:val="28"/>
          <w:szCs w:val="28"/>
          <w:lang w:val="en-US" w:eastAsia="zh-CN" w:bidi="ar"/>
        </w:rPr>
        <w:t>.支付担保中担保额度一般为工程总额的（ ）。</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default" w:ascii="仿宋_GB2312" w:hAnsi="仿宋_GB2312" w:eastAsia="仿宋_GB2312" w:cs="仿宋_GB2312"/>
          <w:color w:val="auto"/>
          <w:sz w:val="28"/>
          <w:szCs w:val="28"/>
          <w:lang w:val="en-US" w:eastAsia="zh-CN" w:bidi="ar"/>
        </w:rPr>
        <w:t>A.5％    B.20%~25％     C.40％     D.80％</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48</w:t>
      </w:r>
      <w:r>
        <w:rPr>
          <w:rFonts w:hint="default" w:ascii="仿宋_GB2312" w:hAnsi="仿宋_GB2312" w:eastAsia="仿宋_GB2312" w:cs="仿宋_GB2312"/>
          <w:color w:val="auto"/>
          <w:sz w:val="28"/>
          <w:szCs w:val="28"/>
          <w:lang w:val="en-US" w:eastAsia="zh-CN" w:bidi="ar"/>
        </w:rPr>
        <w:t>.工程师指令将某分项工程混凝土改为钢筋混凝土，对此做出的索赔具体为（ ）。</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default" w:ascii="仿宋_GB2312" w:hAnsi="仿宋_GB2312" w:eastAsia="仿宋_GB2312" w:cs="仿宋_GB2312"/>
          <w:color w:val="auto"/>
          <w:sz w:val="28"/>
          <w:szCs w:val="28"/>
          <w:lang w:val="en-US" w:eastAsia="zh-CN" w:bidi="ar"/>
        </w:rPr>
        <w:t>A.道义索赔    B.总索赔     C.明示索赔     D.单项索赔</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49.某挖掘机配司机1人，若年制度工作日为245天，年工作台班为220台班，人工工日单价为80元，则该挖掘机的人工费为（ ）元/台班。</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A.71.8          B.80.0         C.89.1         D.132.7</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50.编制某分项工程预算定额人工工日消耗量时，已知基本用工、辅助用工、超运距用工分别为20工日、2工日、3工日，人工幅度差系数为10%，则该分项工程单位人工工日消耗量为（ ）工日。</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A.27.0      B.27.2         C.27.3           D.27.5</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51.关于中标人不履行与招标人订立的合同应当承担法律责任的说法，正确的是（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A.给招标人造成的损失超过履约保证金数额的，应当对超过部分予以赔偿</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B.情节严重的，取消其1年至3年内参加依法必须进行招标的项目的投标资格并予以公告</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C.履约保证金只能部分退还</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D.一律不予退还履约保证金</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52.某施工合同中的工程内容由主体工程与附属工程两部分组成，两部分工程的合同额分别为800万元和200万元。合同中对误期赔偿费的约定是：每延误一个日历天应赔偿2万元，且总赔费不超过合同总价款的5%，该工程主体工程按期通过竣工验收，附属工程延误30日历天后通过竣工验收，则该工程的误期赔偿费为（ ）万元。</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A.10          B.12          C.50              D.60</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53.关于合同价款的期中支付，下列说法正确的是（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A.进度款支付周期与发包人实际的工程计量周期一致</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B.已标价工程量清单中单价项目结算价款应按承包人确认的工程量计算</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C.承包人现场签证金额不应列入期中支付进度款，在竣工结算时一并处理</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D.进度款的支付按期中结算价款总额和约定比例计算，一般不低于60%，不高于90%</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54.某建设项目工程费用5000万元，工程建设其他费用1000万元，基本预备费率为8%，年均投资价格上涨率5%，建设期两年，计划每年完成投资50%，则该项目建设期第二年价差预备费应为（ ）万元。</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A.160.02         B.227.79        C.246.01     D.326.02</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55.投标报价活动的核心工作是（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A.市场询价         B.详细估价及报价</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C.确定投标策略     D.复核工程量</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56.根据《建设工程工程量清单计价规范》(GB50500—2013)，关于工程计量，下列说法中正确的是（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A.合同文件中规定的各种费用支付项目应予计量</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B.因异常恶劣天气造成的返工工程量不予计量</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C.成本加酬金合同应按照总价合同的计量规定进行计量</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D.总价合同应按实际完成的工程量计算</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57.确定施工机械台班定额消耗量前需计算机械时间利用系数，其计算公式正确的是（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A.机械时间利用系数=机械纯工作1h正常生产率×工作班纯工作时间</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B.机械时间利用系数=1/机械台班产量定额</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C.机械时间利用系数=机械在一个工作班内纯工作时间/一个工作班延续时间(8h)</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D.机械时间利用系数=一个工作班延续时间(8h)/机械在一个工作班内纯工作时间</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58.准确性较高、但工作量大且技术要求高的劳动定额编制方法是（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A.经验估工法         B.统计分析法</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C.技术测定法         D.理论分析法</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59.</w:t>
      </w:r>
      <w:r>
        <w:rPr>
          <w:rFonts w:hint="default" w:ascii="仿宋_GB2312" w:hAnsi="仿宋_GB2312" w:eastAsia="仿宋_GB2312" w:cs="仿宋_GB2312"/>
          <w:color w:val="auto"/>
          <w:sz w:val="28"/>
          <w:szCs w:val="28"/>
          <w:lang w:val="en-US" w:eastAsia="zh-CN" w:bidi="ar"/>
        </w:rPr>
        <w:t>在某工程上使用的运土车司机的工资属于工程造价构成中的（ ）组成部分</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default" w:ascii="仿宋_GB2312" w:hAnsi="仿宋_GB2312" w:eastAsia="仿宋_GB2312" w:cs="仿宋_GB2312"/>
          <w:color w:val="auto"/>
          <w:sz w:val="28"/>
          <w:szCs w:val="28"/>
          <w:lang w:val="en-US" w:eastAsia="zh-CN" w:bidi="ar"/>
        </w:rPr>
        <w:t>A.人工费         B.材料费      C.机械费        D.管理费</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60.当初步设计深度不够，设备清单不完备，只有主体设备或仅有成套设备质量时，设备安装工程费概算的编制方法可以采用（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A.预算单价法            B.扩大单价法</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C.设备价值百分比法      D.综合吨位指标法</w:t>
      </w:r>
    </w:p>
    <w:p>
      <w:pPr>
        <w:keepNext w:val="0"/>
        <w:keepLines w:val="0"/>
        <w:pageBreakBefore w:val="0"/>
        <w:kinsoku/>
        <w:wordWrap/>
        <w:overflowPunct/>
        <w:topLinePunct w:val="0"/>
        <w:autoSpaceDE/>
        <w:autoSpaceDN/>
        <w:bidi w:val="0"/>
        <w:spacing w:after="0" w:line="360" w:lineRule="auto"/>
        <w:jc w:val="both"/>
        <w:textAlignment w:val="auto"/>
        <w:rPr>
          <w:rFonts w:hint="eastAsia" w:ascii="仿宋_GB2312" w:hAnsi="仿宋_GB2312" w:eastAsia="仿宋_GB2312" w:cs="仿宋_GB2312"/>
          <w:b/>
          <w:bCs/>
          <w:color w:val="auto"/>
          <w:kern w:val="2"/>
          <w:sz w:val="28"/>
          <w:szCs w:val="28"/>
          <w:lang w:val="en-US" w:eastAsia="zh-CN" w:bidi="ar"/>
        </w:rPr>
      </w:pPr>
      <w:r>
        <w:rPr>
          <w:rFonts w:hint="eastAsia" w:ascii="仿宋_GB2312" w:hAnsi="仿宋_GB2312" w:eastAsia="仿宋_GB2312" w:cs="仿宋_GB2312"/>
          <w:b/>
          <w:bCs/>
          <w:color w:val="auto"/>
          <w:kern w:val="2"/>
          <w:sz w:val="28"/>
          <w:szCs w:val="28"/>
          <w:lang w:val="en-US" w:eastAsia="zh-CN" w:bidi="ar"/>
        </w:rPr>
        <w:t xml:space="preserve">二、 多选题，20道，每道题的备选项中，有2个或2个以上符合题意的，至少有1个错项。每题2分。错选本题不得分；少选，所选的每个选项得0.5分。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1.影响资金等值的因素有（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 xml:space="preserve">A.资金发生的时间    B.利率或折现率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 xml:space="preserve">C.资金回收方式     D.资金数额          E.资金筹集渠道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2.下列工程项目中，不宜采用固定总价合同的有（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A.建设规模大且技术复杂的工程项目</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B.施工图纸和工程量清单详细而明确的项目</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C.施工中有较大部分采用新技术，且施工单位缺乏经验的项目</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D.施工工期紧的紧急工程项目</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E.承包风险不大，各项费用易于准确估算的项目</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3.下列事件的发生，按照《标准施工招标文件》中相关合同条件，只获得费用补偿的有（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A.基准日后法律的变化</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B.工程师对已覆盖的隐蔽工程要求重新检查且检查结果不合格</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C.工程移交后因发包人原因出现的新的缺陷或损坏的修复</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D.发包人提供工程设备不合格</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E.工程移交后因发包人原因出现的缺陷修复后的试验和试运行</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4.下列流水施工参数中，属于空间参数的有（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 xml:space="preserve">A.流水步距      B.工作面      C.流水强度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D.施工过程      E.施工段</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5.下列措施项目费中，宜采用综合单价法计价的有(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 xml:space="preserve">A.垂直运输工程费          B.脚手架工程费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 xml:space="preserve">C.混凝土模板工程费        D.冬雨季施工增加费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E.夜间施工增加费</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6.下列行为中，属于招标人与投标人串通的有（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 xml:space="preserve">A.招标人明示投标人压低投标报价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B.招标人授意投标人修改投标文件</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 xml:space="preserve">C.招标人向投标人公布招标控制价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D.招标人向投标人透漏招标标底</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E.招标人组织投标人进行现场踏勘</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7.根据《建设工程工程量清单计价规范》，关于项目特征的说法，正确的有（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A.分部分项工程量清单的项目特征是确定综合单价的重要依据</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 xml:space="preserve">B.项目特征主要涉及项目的自身特征、工艺特征及对项目施工方法可能产生影响的特征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C.项目名称相同、项目特征不同的清单项目应分别列项</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D.项目特征是指构成分部分项工程量清单项目、措施项目自身价值的本质特征</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E.项目特征应根据《计量规范》的项目特征进行统一描述，招标人不应根据拟建项目实际情况更改项目特征的描述</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8.施工图预算对于工程造价管理部门的作用主要有（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A.是项目立项审批的依据      B.是监督检查执行定额标准的依据</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C.是合理确定工程造价的依据  D.是审定招标控制价的依据</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E.是测算造价指数的依据</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9.费用偏差与进度偏差常用挣得值公式表示,下列正确的是（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 xml:space="preserve">A.费用偏差（CV）＝BCWP－ACWP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B.费用偏差（CV）＝ACWP －BCWP</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 xml:space="preserve">C.进度偏差（SV）＝BCWP－BCWS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D.进度偏差（SV）＝BCWS－BCWP</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10.工程定额按照不同用途可分为（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 xml:space="preserve">A.施工定额       B.预算定额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 xml:space="preserve">C.概算定额       D.估算指标        E.企业定额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11.招标实施阶段是整个招标过程的实质性阶段,主要工作内容包括（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A.发布招标公告或资格预审公告</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B.投标人的资格审查</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C.发放招标文件</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D.组织勘察现场和投标预备会</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E.投标文件的接收</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12.根据《建设工程工程量清单计价规范》（GB50500-2013），关于工程量的说法正确的有（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A.采用工程量清单方式招标形成的总价合同，其工程量应按照单价合同的规定计算</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B.采用预算方式发包形成的总价合同，总价合同各项目的工程量即为最终工程量</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 xml:space="preserve">C.采用单价合同的，承包人应当每月向发包人提交已完工程量报告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D.采用单价合同的，工程量必须以承包人完成合同工程应当计算的工程量确定</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E.采用单价合同的，发包人应在收到报告后7天内审核，自行确定计量结果</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13.下列事件的发生，按照《标准施工招标文件》中相关合同条件，只获得费用补偿的有（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A.基准日后法律的变化</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B.工程师对已覆盖的隐蔽工程要求重新检查且检查结果不合格</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C.工程移交后因发包人原因出现的新的缺陷或损坏的修复</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D.发包人提供工程设备不合格</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E.工程移交后因发包人原因出现的缺陷修复后的试验和试运行</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14.发承包双方应在合同条款中对（ ）事项进行约定。</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A.安全文明施工措施的支付计划、使用要求</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B.承担计价风险的内容、范围</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C.竣工结算编制与审核、支付及时间</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D.工程质量保证金的数额、预留方式及时间</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E.违约责任及发生工程价款争议的解决方法及时间</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15.实际进度延后影响总工期，需调整进度计划，有效的调整方式是（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 xml:space="preserve">A.加强管理，提高关键工作质量控制，减少返工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 xml:space="preserve">B.不增加投入，将关键工作顺序作业改为搭接作业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 xml:space="preserve">C.不增加投入，将关键工作平行作业改为顺序作业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 xml:space="preserve">D.增加投入，缩短关键工作持续时间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E.增加投入，缩短非关键工作持续时间</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16.可采用分部分项工程项目清单方式编制的措施项目有（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 xml:space="preserve">A.混凝土模板及支架      B.二次搬运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C.垂直运输              D.超高施工增加     E.冬雨季施工</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17.组织流水施工，表达流水施工所处状态时间参数的是（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 xml:space="preserve">A.流水强度     B.流水节拍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C.流水步距     D.流水施工工期     E.总时差和自由时差</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18.下列工作所需时间不计入招标投标投诉处理时限的是（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A.层报   B.检验    C.检测    D.调解    E.专家评审</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19.建设单位与使用单位在办理交付资产的验收交接手续时，通过基本建设项目交付使用资产总表反映了交付使用资产的全部价值，包括（ ）的价值。</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 xml:space="preserve">A.其他资产         B.流动资产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C.无形资产         D.固定资产         E.有形资产</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20.关于采用双倍余额递减法计算固定资产折旧的说法， 正确的有(  )。</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A.寿命期累计折旧额与年限平均法累计折旧额相等</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B.前期年折旧额高， 后期年折旧额低</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C.固定资产账面价值逐年减少</w:t>
      </w:r>
    </w:p>
    <w:p>
      <w:pPr>
        <w:widowControl w:val="0"/>
        <w:adjustRightInd w:val="0"/>
        <w:snapToGrid w:val="0"/>
        <w:spacing w:after="0" w:line="360" w:lineRule="auto"/>
        <w:jc w:val="both"/>
        <w:rPr>
          <w:rFonts w:hint="eastAsia"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D.计算折旧额使用的折旧率逐年下降</w:t>
      </w:r>
    </w:p>
    <w:p>
      <w:pPr>
        <w:widowControl w:val="0"/>
        <w:adjustRightInd w:val="0"/>
        <w:snapToGrid w:val="0"/>
        <w:spacing w:after="0" w:line="360" w:lineRule="auto"/>
        <w:jc w:val="both"/>
        <w:rPr>
          <w:rFonts w:hint="default" w:ascii="仿宋_GB2312" w:hAnsi="仿宋_GB2312" w:eastAsia="仿宋_GB2312" w:cs="仿宋_GB2312"/>
          <w:color w:val="auto"/>
          <w:sz w:val="28"/>
          <w:szCs w:val="28"/>
          <w:lang w:val="en-US" w:eastAsia="zh-CN" w:bidi="ar"/>
        </w:rPr>
      </w:pPr>
      <w:r>
        <w:rPr>
          <w:rFonts w:hint="eastAsia" w:ascii="仿宋_GB2312" w:hAnsi="仿宋_GB2312" w:eastAsia="仿宋_GB2312" w:cs="仿宋_GB2312"/>
          <w:color w:val="auto"/>
          <w:sz w:val="28"/>
          <w:szCs w:val="28"/>
          <w:lang w:val="en-US" w:eastAsia="zh-CN" w:bidi="ar"/>
        </w:rPr>
        <w:t>E.固定资产折旧年限与年限平均法折旧年限相同</w:t>
      </w:r>
    </w:p>
    <w:p>
      <w:pPr>
        <w:pStyle w:val="2"/>
        <w:keepNext w:val="0"/>
        <w:keepLines w:val="0"/>
        <w:pageBreakBefore w:val="0"/>
        <w:widowControl/>
        <w:kinsoku/>
        <w:wordWrap/>
        <w:overflowPunct/>
        <w:topLinePunct w:val="0"/>
        <w:autoSpaceDE/>
        <w:autoSpaceDN/>
        <w:bidi w:val="0"/>
        <w:adjustRightInd/>
        <w:snapToGrid/>
        <w:spacing w:before="1" w:line="360" w:lineRule="auto"/>
        <w:textAlignment w:val="auto"/>
        <w:rPr>
          <w:rFonts w:hint="eastAsia" w:ascii="仿宋_GB2312" w:hAnsi="仿宋_GB2312" w:eastAsia="仿宋_GB2312" w:cs="仿宋_GB2312"/>
          <w:color w:val="auto"/>
          <w:kern w:val="2"/>
          <w:sz w:val="28"/>
          <w:szCs w:val="28"/>
          <w:lang w:val="en-US" w:eastAsia="zh-CN" w:bidi="ar"/>
        </w:rPr>
      </w:pPr>
    </w:p>
    <w:p>
      <w:pPr>
        <w:spacing w:after="0" w:line="360" w:lineRule="auto"/>
        <w:jc w:val="both"/>
        <w:rPr>
          <w:rFonts w:hint="eastAsia" w:ascii="仿宋_GB2312" w:hAnsi="仿宋_GB2312" w:eastAsia="仿宋_GB2312" w:cs="仿宋_GB2312"/>
          <w:color w:val="auto"/>
          <w:kern w:val="2"/>
          <w:sz w:val="28"/>
          <w:szCs w:val="28"/>
          <w:lang w:val="en-US" w:eastAsia="zh-CN" w:bidi="ar"/>
        </w:rPr>
      </w:pPr>
    </w:p>
    <w:p>
      <w:pPr>
        <w:pStyle w:val="2"/>
        <w:keepNext w:val="0"/>
        <w:keepLines w:val="0"/>
        <w:pageBreakBefore w:val="0"/>
        <w:widowControl/>
        <w:kinsoku/>
        <w:wordWrap/>
        <w:overflowPunct/>
        <w:topLinePunct w:val="0"/>
        <w:autoSpaceDE/>
        <w:autoSpaceDN/>
        <w:bidi w:val="0"/>
        <w:adjustRightInd/>
        <w:snapToGrid/>
        <w:spacing w:before="1" w:line="360" w:lineRule="auto"/>
        <w:textAlignment w:val="auto"/>
        <w:rPr>
          <w:rFonts w:hint="default" w:ascii="仿宋_GB2312" w:hAnsi="仿宋_GB2312" w:eastAsia="仿宋_GB2312" w:cs="仿宋_GB2312"/>
          <w:kern w:val="2"/>
          <w:sz w:val="28"/>
          <w:szCs w:val="36"/>
          <w:lang w:val="en-US" w:eastAsia="zh-CN" w:bidi="ar-SA"/>
        </w:rPr>
      </w:pPr>
    </w:p>
    <w:p>
      <w:pPr>
        <w:keepNext w:val="0"/>
        <w:keepLines w:val="0"/>
        <w:pageBreakBefore w:val="0"/>
        <w:widowControl w:val="0"/>
        <w:kinsoku/>
        <w:wordWrap/>
        <w:overflowPunct/>
        <w:topLinePunct w:val="0"/>
        <w:autoSpaceDE/>
        <w:autoSpaceDN/>
        <w:bidi w:val="0"/>
        <w:spacing w:line="240" w:lineRule="auto"/>
        <w:textAlignment w:val="auto"/>
        <w:rPr>
          <w:rFonts w:hint="eastAsia" w:ascii="仿宋_GB2312" w:hAnsi="仿宋_GB2312" w:eastAsia="仿宋_GB2312" w:cs="仿宋_GB2312"/>
          <w:sz w:val="28"/>
          <w:szCs w:val="36"/>
          <w:lang w:val="en-US" w:eastAsia="zh-CN"/>
        </w:rPr>
      </w:pPr>
    </w:p>
    <w:p>
      <w:pPr>
        <w:numPr>
          <w:ilvl w:val="0"/>
          <w:numId w:val="0"/>
        </w:numPr>
        <w:spacing w:after="0" w:line="360" w:lineRule="auto"/>
        <w:jc w:val="both"/>
        <w:rPr>
          <w:rFonts w:hint="default" w:ascii="仿宋_GB2312" w:hAnsi="Calibri" w:eastAsia="仿宋_GB2312" w:cs="仿宋_GB2312"/>
          <w:sz w:val="28"/>
          <w:szCs w:val="28"/>
          <w:lang w:val="en-US" w:eastAsia="zh-CN" w:bidi="ar"/>
        </w:rPr>
      </w:pPr>
    </w:p>
    <w:p>
      <w:pPr>
        <w:keepNext w:val="0"/>
        <w:keepLines w:val="0"/>
        <w:pageBreakBefore w:val="0"/>
        <w:widowControl w:val="0"/>
        <w:kinsoku/>
        <w:wordWrap/>
        <w:overflowPunct/>
        <w:topLinePunct w:val="0"/>
        <w:autoSpaceDE/>
        <w:autoSpaceDN/>
        <w:bidi w:val="0"/>
        <w:spacing w:after="0" w:line="240" w:lineRule="auto"/>
        <w:jc w:val="both"/>
        <w:textAlignment w:val="auto"/>
        <w:rPr>
          <w:rFonts w:hint="default" w:ascii="仿宋_GB2312" w:hAnsi="Calibri" w:eastAsia="仿宋_GB2312" w:cs="仿宋_GB2312"/>
          <w:sz w:val="28"/>
          <w:szCs w:val="28"/>
          <w:lang w:val="en-US" w:eastAsia="zh-CN" w:bidi="ar"/>
        </w:rPr>
      </w:pPr>
    </w:p>
    <w:p>
      <w:pPr>
        <w:rPr>
          <w:rFonts w:hint="eastAsia" w:ascii="仿宋_GB2312" w:hAnsi="仿宋_GB2312" w:eastAsia="仿宋_GB2312" w:cs="仿宋_GB2312"/>
          <w:sz w:val="28"/>
          <w:szCs w:val="36"/>
          <w:lang w:val="en-US" w:eastAsia="zh-CN"/>
        </w:rPr>
      </w:pPr>
    </w:p>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YTRiYjFhYzdhODYzODk1YzJhZDJmMTFkZDNiNmYifQ=="/>
  </w:docVars>
  <w:rsids>
    <w:rsidRoot w:val="69C163B2"/>
    <w:rsid w:val="31251954"/>
    <w:rsid w:val="69C163B2"/>
    <w:rsid w:val="7D6B12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2023-11-14T01:40:00Z</dcterms:created>
  <dc:creator>Down.</dc:creator>
  <cp:lastModifiedBy>admin</cp:lastModifiedBy>
  <dcterms:modified xsi:type="dcterms:W3CDTF">2023-11-14T08:00:57Z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DBAD37C3EAE24C94A8422AF5F14F1598_11</vt:lpwstr>
  </property>
</Properties>
</file>