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360" w:lineRule="auto"/>
        <w:jc w:val="center"/>
        <w:rPr>
          <w:rFonts w:hint="eastAsia" w:ascii="黑体" w:hAnsi="黑体" w:eastAsia="黑体" w:cs="黑体"/>
          <w:bCs/>
          <w:sz w:val="32"/>
          <w:szCs w:val="32"/>
          <w:lang w:eastAsia="zh-CN"/>
        </w:rPr>
      </w:pPr>
      <w:r>
        <w:rPr>
          <w:rFonts w:hint="eastAsia" w:ascii="黑体" w:hAnsi="黑体" w:eastAsia="黑体" w:cs="黑体"/>
          <w:bCs/>
          <w:sz w:val="32"/>
          <w:szCs w:val="32"/>
        </w:rPr>
        <w:t>模块二 投标报价文件编制与价款调整试卷</w:t>
      </w:r>
    </w:p>
    <w:p>
      <w:pPr>
        <w:spacing w:line="360" w:lineRule="auto"/>
        <w:ind w:firstLine="560" w:firstLineChars="200"/>
        <w:jc w:val="left"/>
        <w:rPr>
          <w:rFonts w:ascii="仿宋" w:hAnsi="仿宋" w:eastAsia="仿宋" w:cs="仿宋_GB2312"/>
          <w:sz w:val="28"/>
          <w:szCs w:val="24"/>
          <w:lang w:bidi="ar"/>
        </w:rPr>
      </w:pPr>
      <w:r>
        <w:rPr>
          <w:rFonts w:hint="eastAsia" w:ascii="仿宋" w:hAnsi="仿宋" w:eastAsia="仿宋" w:cs="仿宋_GB2312"/>
          <w:sz w:val="28"/>
          <w:szCs w:val="24"/>
          <w:lang w:bidi="ar"/>
        </w:rPr>
        <w:t>本模块内容分为三个部分：建筑与装饰工程投标报价文件的编制、安装工程投标报价文件的编制、价款调整。比赛形式为团队赛，本试卷比赛时长为</w:t>
      </w:r>
      <w:r>
        <w:rPr>
          <w:rFonts w:ascii="仿宋" w:hAnsi="仿宋" w:eastAsia="仿宋" w:cs="仿宋_GB2312"/>
          <w:sz w:val="28"/>
          <w:szCs w:val="24"/>
          <w:lang w:bidi="ar"/>
        </w:rPr>
        <w:t>120分钟。在</w:t>
      </w:r>
      <w:r>
        <w:rPr>
          <w:rFonts w:hint="eastAsia" w:ascii="仿宋" w:hAnsi="仿宋" w:eastAsia="仿宋" w:cs="仿宋_GB2312"/>
          <w:sz w:val="28"/>
          <w:szCs w:val="24"/>
          <w:lang w:bidi="ar"/>
        </w:rPr>
        <w:t>比</w:t>
      </w:r>
      <w:r>
        <w:rPr>
          <w:rFonts w:ascii="仿宋" w:hAnsi="仿宋" w:eastAsia="仿宋" w:cs="仿宋_GB2312"/>
          <w:sz w:val="28"/>
          <w:szCs w:val="24"/>
          <w:lang w:bidi="ar"/>
        </w:rPr>
        <w:t>赛中权重占比为30%。</w:t>
      </w:r>
    </w:p>
    <w:p>
      <w:pPr>
        <w:spacing w:line="360" w:lineRule="auto"/>
        <w:jc w:val="left"/>
        <w:rPr>
          <w:rFonts w:ascii="仿宋" w:hAnsi="仿宋" w:eastAsia="仿宋" w:cs="宋体"/>
          <w:sz w:val="24"/>
          <w:szCs w:val="24"/>
        </w:rPr>
      </w:pPr>
      <w:r>
        <w:rPr>
          <w:rFonts w:hint="eastAsia" w:ascii="仿宋" w:hAnsi="仿宋" w:eastAsia="仿宋" w:cs="宋体"/>
          <w:b/>
          <w:bCs/>
          <w:sz w:val="24"/>
          <w:szCs w:val="24"/>
        </w:rPr>
        <w:t>一、建筑及装饰工程投标文件编制（共50分）</w:t>
      </w:r>
    </w:p>
    <w:p>
      <w:pPr>
        <w:spacing w:line="360" w:lineRule="auto"/>
        <w:jc w:val="left"/>
        <w:rPr>
          <w:rFonts w:ascii="仿宋" w:hAnsi="仿宋" w:eastAsia="仿宋" w:cs="宋体"/>
          <w:b/>
          <w:sz w:val="24"/>
          <w:szCs w:val="24"/>
        </w:rPr>
      </w:pPr>
      <w:r>
        <w:rPr>
          <w:rFonts w:hint="eastAsia" w:ascii="仿宋" w:hAnsi="仿宋" w:eastAsia="仿宋" w:cs="宋体"/>
          <w:b/>
          <w:sz w:val="24"/>
          <w:szCs w:val="24"/>
        </w:rPr>
        <w:t>1、编制依据：</w:t>
      </w:r>
    </w:p>
    <w:p>
      <w:pPr>
        <w:spacing w:line="360" w:lineRule="auto"/>
        <w:jc w:val="left"/>
        <w:rPr>
          <w:rFonts w:hint="eastAsia" w:ascii="仿宋" w:hAnsi="仿宋" w:eastAsia="仿宋" w:cs="仿宋"/>
          <w:b w:val="0"/>
          <w:bCs/>
          <w:color w:val="000000"/>
          <w:kern w:val="0"/>
          <w:sz w:val="24"/>
          <w:szCs w:val="24"/>
          <w:lang w:val="en-US" w:eastAsia="zh-CN"/>
        </w:rPr>
      </w:pPr>
      <w:r>
        <w:rPr>
          <w:rFonts w:hint="eastAsia" w:ascii="仿宋" w:hAnsi="仿宋" w:eastAsia="仿宋" w:cs="仿宋"/>
          <w:b w:val="0"/>
          <w:bCs/>
          <w:color w:val="000000"/>
          <w:kern w:val="0"/>
          <w:sz w:val="24"/>
          <w:szCs w:val="24"/>
          <w:lang w:val="en-US" w:eastAsia="zh-CN"/>
        </w:rPr>
        <w:t>《建筑工程工程量清单计价规范》(GB50500-2013)</w:t>
      </w:r>
    </w:p>
    <w:p>
      <w:pPr>
        <w:spacing w:line="360" w:lineRule="auto"/>
        <w:jc w:val="left"/>
        <w:rPr>
          <w:rFonts w:ascii="仿宋" w:hAnsi="仿宋" w:eastAsia="仿宋" w:cs="仿宋"/>
          <w:sz w:val="24"/>
          <w:szCs w:val="24"/>
        </w:rPr>
      </w:pPr>
      <w:r>
        <w:rPr>
          <w:rFonts w:hint="eastAsia" w:ascii="仿宋" w:hAnsi="仿宋" w:eastAsia="仿宋" w:cs="仿宋"/>
          <w:sz w:val="24"/>
          <w:szCs w:val="24"/>
          <w:lang w:eastAsia="zh-CN"/>
        </w:rPr>
        <w:t>《房屋建筑与装饰工程工</w:t>
      </w:r>
      <w:r>
        <w:rPr>
          <w:rFonts w:hint="eastAsia" w:ascii="仿宋" w:hAnsi="仿宋" w:eastAsia="仿宋" w:cs="仿宋"/>
          <w:sz w:val="24"/>
          <w:szCs w:val="24"/>
        </w:rPr>
        <w:t>程量清单项目计</w:t>
      </w:r>
      <w:r>
        <w:rPr>
          <w:rFonts w:hint="eastAsia" w:ascii="仿宋" w:hAnsi="仿宋" w:eastAsia="仿宋" w:cs="仿宋"/>
          <w:sz w:val="24"/>
          <w:szCs w:val="24"/>
          <w:lang w:eastAsia="zh-CN"/>
        </w:rPr>
        <w:t>算</w:t>
      </w:r>
      <w:r>
        <w:rPr>
          <w:rFonts w:hint="eastAsia" w:ascii="仿宋" w:hAnsi="仿宋" w:eastAsia="仿宋" w:cs="仿宋"/>
          <w:sz w:val="24"/>
          <w:szCs w:val="24"/>
        </w:rPr>
        <w:t>规范</w:t>
      </w:r>
      <w:r>
        <w:rPr>
          <w:rFonts w:hint="eastAsia" w:ascii="仿宋" w:hAnsi="仿宋" w:eastAsia="仿宋" w:cs="仿宋"/>
          <w:sz w:val="24"/>
          <w:szCs w:val="24"/>
          <w:lang w:eastAsia="zh-CN"/>
        </w:rPr>
        <w:t>》</w:t>
      </w:r>
      <w:r>
        <w:rPr>
          <w:rFonts w:hint="eastAsia" w:ascii="仿宋" w:hAnsi="仿宋" w:eastAsia="仿宋" w:cs="仿宋"/>
          <w:sz w:val="24"/>
          <w:szCs w:val="24"/>
        </w:rPr>
        <w:t>(</w:t>
      </w:r>
      <w:r>
        <w:rPr>
          <w:rFonts w:hint="eastAsia" w:ascii="仿宋" w:hAnsi="仿宋" w:eastAsia="仿宋" w:cs="仿宋"/>
          <w:sz w:val="24"/>
          <w:szCs w:val="24"/>
          <w:lang w:val="en-US" w:eastAsia="zh-CN"/>
        </w:rPr>
        <w:t>GB50854-2013</w:t>
      </w:r>
      <w:r>
        <w:rPr>
          <w:rFonts w:hint="eastAsia" w:ascii="仿宋" w:hAnsi="仿宋" w:eastAsia="仿宋" w:cs="仿宋"/>
          <w:sz w:val="24"/>
          <w:szCs w:val="24"/>
        </w:rPr>
        <w:t>)</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甘肃省建筑与装饰工程预算定额（2019年）庆阳地区基价</w:t>
      </w:r>
    </w:p>
    <w:p>
      <w:pPr>
        <w:spacing w:line="360" w:lineRule="auto"/>
        <w:jc w:val="left"/>
        <w:rPr>
          <w:rFonts w:ascii="仿宋" w:hAnsi="仿宋" w:eastAsia="仿宋" w:cs="宋体"/>
          <w:b/>
          <w:bCs/>
          <w:sz w:val="24"/>
          <w:szCs w:val="24"/>
        </w:rPr>
      </w:pPr>
      <w:r>
        <w:rPr>
          <w:rFonts w:hint="eastAsia" w:ascii="仿宋" w:hAnsi="仿宋" w:eastAsia="仿宋" w:cs="宋体"/>
          <w:b/>
          <w:bCs/>
          <w:sz w:val="24"/>
          <w:szCs w:val="24"/>
        </w:rPr>
        <w:t>2、工程概况</w:t>
      </w:r>
    </w:p>
    <w:p>
      <w:pPr>
        <w:pStyle w:val="8"/>
        <w:spacing w:line="360" w:lineRule="auto"/>
        <w:ind w:left="0" w:leftChars="0" w:firstLine="0" w:firstLineChars="0"/>
        <w:rPr>
          <w:rFonts w:ascii="仿宋" w:hAnsi="仿宋" w:eastAsia="仿宋" w:cs="宋体"/>
          <w:sz w:val="24"/>
          <w:szCs w:val="24"/>
        </w:rPr>
      </w:pPr>
      <w:r>
        <w:rPr>
          <w:rFonts w:hint="eastAsia" w:ascii="仿宋" w:hAnsi="仿宋" w:eastAsia="仿宋" w:cs="宋体"/>
          <w:sz w:val="24"/>
          <w:szCs w:val="24"/>
        </w:rPr>
        <w:t>项目名称：</w:t>
      </w:r>
      <w:r>
        <w:rPr>
          <w:rFonts w:hint="eastAsia" w:ascii="仿宋" w:hAnsi="仿宋" w:eastAsia="仿宋" w:cs="宋体"/>
          <w:sz w:val="24"/>
          <w:szCs w:val="24"/>
          <w:lang w:val="en-US" w:eastAsia="zh-CN"/>
        </w:rPr>
        <w:t>项目一</w:t>
      </w:r>
    </w:p>
    <w:p>
      <w:pPr>
        <w:keepNext w:val="0"/>
        <w:keepLines w:val="0"/>
        <w:pageBreakBefore w:val="0"/>
        <w:widowControl w:val="0"/>
        <w:kinsoku/>
        <w:wordWrap/>
        <w:overflowPunct/>
        <w:topLinePunct w:val="0"/>
        <w:autoSpaceDE w:val="0"/>
        <w:autoSpaceDN w:val="0"/>
        <w:bidi w:val="0"/>
        <w:adjustRightInd/>
        <w:snapToGrid/>
        <w:spacing w:line="360" w:lineRule="auto"/>
        <w:textAlignment w:val="auto"/>
        <w:rPr>
          <w:rFonts w:hint="eastAsia" w:ascii="宋体" w:hAnsi="宋体" w:eastAsia="宋体" w:cs="宋体"/>
          <w:color w:val="000000"/>
          <w:sz w:val="24"/>
          <w:szCs w:val="24"/>
          <w:lang w:val="en-US" w:eastAsia="zh-CN" w:bidi="ar-SA"/>
        </w:rPr>
      </w:pPr>
      <w:r>
        <w:rPr>
          <w:rFonts w:hint="eastAsia" w:ascii="仿宋" w:hAnsi="仿宋" w:eastAsia="仿宋" w:cs="宋体"/>
          <w:sz w:val="24"/>
          <w:szCs w:val="24"/>
        </w:rPr>
        <w:t>建筑面积：</w:t>
      </w:r>
      <w:r>
        <w:rPr>
          <w:rFonts w:hint="eastAsia" w:ascii="宋体" w:hAnsi="宋体" w:eastAsia="宋体" w:cs="宋体"/>
          <w:color w:val="000000"/>
          <w:spacing w:val="1"/>
          <w:sz w:val="24"/>
          <w:szCs w:val="24"/>
          <w:lang w:val="en-US" w:eastAsia="zh-CN" w:bidi="ar-SA"/>
        </w:rPr>
        <w:t>1545.39</w:t>
      </w:r>
      <w:r>
        <w:rPr>
          <w:rFonts w:hint="eastAsia" w:ascii="宋体" w:hAnsi="宋体" w:eastAsia="宋体" w:cs="宋体"/>
          <w:color w:val="000000"/>
          <w:sz w:val="24"/>
          <w:szCs w:val="24"/>
          <w:lang w:val="en-US" w:eastAsia="en-US" w:bidi="ar-SA"/>
        </w:rPr>
        <w:t>㎡</w:t>
      </w:r>
    </w:p>
    <w:p>
      <w:pPr>
        <w:pStyle w:val="8"/>
        <w:spacing w:line="360" w:lineRule="auto"/>
        <w:ind w:left="0" w:leftChars="0" w:firstLine="0" w:firstLineChars="0"/>
        <w:rPr>
          <w:rFonts w:hint="eastAsia" w:ascii="仿宋" w:hAnsi="仿宋" w:eastAsia="仿宋" w:cs="宋体"/>
          <w:sz w:val="24"/>
          <w:szCs w:val="24"/>
          <w:lang w:eastAsia="zh-CN"/>
        </w:rPr>
      </w:pPr>
      <w:r>
        <w:rPr>
          <w:rFonts w:hint="eastAsia" w:ascii="仿宋" w:hAnsi="仿宋" w:eastAsia="仿宋" w:cs="宋体"/>
          <w:sz w:val="24"/>
          <w:szCs w:val="24"/>
        </w:rPr>
        <w:t>建设规模：</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pStyle w:val="8"/>
        <w:spacing w:line="360" w:lineRule="auto"/>
        <w:ind w:left="0" w:leftChars="0" w:firstLine="0" w:firstLineChars="0"/>
        <w:rPr>
          <w:rFonts w:hint="default" w:ascii="仿宋" w:hAnsi="仿宋" w:eastAsia="仿宋" w:cs="宋体"/>
          <w:sz w:val="24"/>
          <w:szCs w:val="24"/>
          <w:lang w:val="en-US" w:eastAsia="zh-CN"/>
        </w:rPr>
      </w:pPr>
      <w:r>
        <w:rPr>
          <w:rFonts w:hint="eastAsia" w:ascii="仿宋" w:hAnsi="仿宋" w:eastAsia="仿宋" w:cs="宋体"/>
          <w:sz w:val="24"/>
          <w:szCs w:val="24"/>
        </w:rPr>
        <w:t>建设地点：</w:t>
      </w:r>
      <w:r>
        <w:rPr>
          <w:rFonts w:hint="eastAsia" w:ascii="仿宋" w:hAnsi="仿宋" w:eastAsia="仿宋" w:cs="宋体"/>
          <w:sz w:val="24"/>
          <w:szCs w:val="24"/>
          <w:lang w:val="en-US" w:eastAsia="zh-CN"/>
        </w:rPr>
        <w:t>甘肃省庆阳市</w:t>
      </w:r>
    </w:p>
    <w:p>
      <w:pPr>
        <w:pStyle w:val="8"/>
        <w:spacing w:line="360" w:lineRule="auto"/>
        <w:ind w:left="0" w:leftChars="0" w:firstLine="0" w:firstLineChars="0"/>
        <w:rPr>
          <w:rFonts w:ascii="仿宋" w:hAnsi="仿宋" w:eastAsia="仿宋" w:cs="宋体"/>
          <w:sz w:val="24"/>
          <w:szCs w:val="24"/>
        </w:rPr>
      </w:pPr>
      <w:r>
        <w:rPr>
          <w:rFonts w:hint="eastAsia" w:ascii="仿宋" w:hAnsi="仿宋" w:eastAsia="仿宋" w:cs="宋体"/>
          <w:sz w:val="24"/>
          <w:szCs w:val="24"/>
        </w:rPr>
        <w:t>已公示的最高投标限价如下：</w:t>
      </w:r>
    </w:p>
    <w:p>
      <w:pPr>
        <w:pStyle w:val="8"/>
        <w:spacing w:line="360" w:lineRule="auto"/>
        <w:ind w:left="0" w:leftChars="0" w:firstLine="0" w:firstLineChars="0"/>
        <w:rPr>
          <w:rFonts w:ascii="仿宋" w:hAnsi="仿宋" w:eastAsia="仿宋" w:cs="宋体"/>
          <w:sz w:val="24"/>
          <w:szCs w:val="28"/>
        </w:rPr>
      </w:pPr>
      <w:r>
        <w:rPr>
          <w:rFonts w:hint="eastAsia" w:ascii="仿宋" w:hAnsi="仿宋" w:eastAsia="仿宋" w:cs="宋体"/>
          <w:sz w:val="24"/>
          <w:szCs w:val="28"/>
        </w:rPr>
        <w:t>投标最高限价：</w:t>
      </w:r>
      <w:r>
        <w:rPr>
          <w:rFonts w:hint="eastAsia" w:ascii="仿宋" w:hAnsi="仿宋" w:eastAsia="仿宋" w:cs="宋体"/>
          <w:sz w:val="24"/>
          <w:szCs w:val="28"/>
          <w:highlight w:val="none"/>
          <w:lang w:val="en-US" w:eastAsia="zh-CN"/>
        </w:rPr>
        <w:t>XXXXXX</w:t>
      </w:r>
      <w:r>
        <w:rPr>
          <w:rFonts w:hint="eastAsia" w:ascii="仿宋" w:hAnsi="仿宋" w:eastAsia="仿宋" w:cs="宋体"/>
          <w:sz w:val="24"/>
          <w:szCs w:val="28"/>
          <w:highlight w:val="none"/>
        </w:rPr>
        <w:t>.</w:t>
      </w:r>
      <w:r>
        <w:rPr>
          <w:rFonts w:hint="eastAsia" w:ascii="仿宋" w:hAnsi="仿宋" w:eastAsia="仿宋" w:cs="宋体"/>
          <w:sz w:val="24"/>
          <w:szCs w:val="28"/>
          <w:highlight w:val="none"/>
          <w:lang w:val="en-US" w:eastAsia="zh-CN"/>
        </w:rPr>
        <w:t>XX</w:t>
      </w:r>
      <w:r>
        <w:rPr>
          <w:rFonts w:ascii="仿宋" w:hAnsi="仿宋" w:eastAsia="仿宋" w:cs="宋体"/>
          <w:sz w:val="24"/>
          <w:szCs w:val="28"/>
          <w:highlight w:val="none"/>
        </w:rPr>
        <w:t>元</w:t>
      </w:r>
    </w:p>
    <w:p>
      <w:pPr>
        <w:pStyle w:val="8"/>
        <w:spacing w:line="360" w:lineRule="auto"/>
        <w:ind w:left="0" w:leftChars="0" w:firstLine="0" w:firstLineChars="0"/>
        <w:rPr>
          <w:rFonts w:hint="eastAsia" w:ascii="仿宋" w:hAnsi="仿宋" w:eastAsia="仿宋" w:cs="宋体"/>
          <w:sz w:val="24"/>
          <w:szCs w:val="28"/>
          <w:highlight w:val="none"/>
          <w:lang w:val="en-US" w:eastAsia="zh-CN"/>
        </w:rPr>
      </w:pPr>
      <w:r>
        <w:rPr>
          <w:rFonts w:hint="eastAsia" w:ascii="仿宋" w:hAnsi="仿宋" w:eastAsia="仿宋" w:cs="宋体"/>
          <w:sz w:val="24"/>
          <w:szCs w:val="28"/>
          <w:highlight w:val="none"/>
        </w:rPr>
        <w:t>大写：</w:t>
      </w:r>
      <w:r>
        <w:rPr>
          <w:rFonts w:hint="eastAsia" w:ascii="仿宋" w:hAnsi="仿宋" w:eastAsia="仿宋" w:cs="宋体"/>
          <w:sz w:val="24"/>
          <w:szCs w:val="28"/>
          <w:highlight w:val="none"/>
          <w:lang w:val="en-US" w:eastAsia="zh-CN"/>
        </w:rPr>
        <w:t>XXXXXXXXXXX</w:t>
      </w:r>
    </w:p>
    <w:p>
      <w:pPr>
        <w:pStyle w:val="8"/>
        <w:numPr>
          <w:ilvl w:val="0"/>
          <w:numId w:val="1"/>
        </w:numPr>
        <w:spacing w:line="360" w:lineRule="auto"/>
        <w:ind w:left="0" w:leftChars="0" w:firstLine="0" w:firstLineChars="0"/>
        <w:rPr>
          <w:rFonts w:hint="eastAsia" w:ascii="仿宋" w:hAnsi="仿宋" w:eastAsia="仿宋" w:cs="宋体"/>
          <w:b/>
          <w:bCs/>
          <w:sz w:val="24"/>
          <w:szCs w:val="24"/>
        </w:rPr>
      </w:pPr>
      <w:r>
        <w:rPr>
          <w:rFonts w:hint="eastAsia" w:ascii="仿宋" w:hAnsi="仿宋" w:eastAsia="仿宋" w:cs="宋体"/>
          <w:b/>
          <w:bCs/>
          <w:sz w:val="24"/>
          <w:szCs w:val="24"/>
          <w:lang w:val="en-US" w:eastAsia="zh-CN"/>
        </w:rPr>
        <w:t>建筑与装饰工程投标报价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 xml:space="preserve">    （1）</w:t>
      </w: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（2）根据给定的材料换算、系数调整、价差调整等资料，对指定的清单项目进行调价。</w:t>
      </w:r>
      <w:r>
        <w:rPr>
          <w:rFonts w:hint="eastAsia" w:ascii="仿宋" w:hAnsi="仿宋" w:eastAsia="仿宋" w:cs="宋体"/>
          <w:sz w:val="24"/>
          <w:szCs w:val="24"/>
          <w:lang w:val="en-US" w:eastAsia="en-US"/>
        </w:rPr>
        <w:t>除甲供材和材料暂估价外，其他材料按照工程资料中提供的工程项目所在地市场信息价格进行调整。</w:t>
      </w:r>
    </w:p>
    <w:p>
      <w:pPr>
        <w:pStyle w:val="8"/>
        <w:numPr>
          <w:ilvl w:val="0"/>
          <w:numId w:val="0"/>
        </w:numPr>
        <w:spacing w:line="360" w:lineRule="auto"/>
        <w:ind w:leftChars="200"/>
        <w:rPr>
          <w:rFonts w:hint="eastAsia" w:ascii="仿宋" w:hAnsi="仿宋" w:eastAsia="仿宋" w:cs="宋体"/>
          <w:kern w:val="2"/>
          <w:sz w:val="24"/>
          <w:szCs w:val="24"/>
          <w:lang w:val="en-US" w:eastAsia="zh-CN" w:bidi="ar-SA"/>
        </w:rPr>
      </w:pPr>
      <w:r>
        <w:rPr>
          <w:rFonts w:hint="eastAsia" w:ascii="仿宋" w:hAnsi="仿宋" w:eastAsia="仿宋" w:cs="宋体"/>
          <w:kern w:val="2"/>
          <w:sz w:val="24"/>
          <w:szCs w:val="24"/>
          <w:lang w:val="en-US" w:eastAsia="zh-CN" w:bidi="ar-SA"/>
        </w:rPr>
        <w:t xml:space="preserve">                       表1    甲供材料表</w:t>
      </w:r>
    </w:p>
    <w:tbl>
      <w:tblPr>
        <w:tblStyle w:val="10"/>
        <w:tblW w:w="0" w:type="auto"/>
        <w:tblInd w:w="7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5"/>
        <w:gridCol w:w="2045"/>
        <w:gridCol w:w="1565"/>
        <w:gridCol w:w="1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材料名称</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规格型号</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单位</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单价（元）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木质防火门</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乙级</w:t>
            </w:r>
          </w:p>
        </w:tc>
        <w:tc>
          <w:tcPr>
            <w:tcW w:w="1565" w:type="dxa"/>
            <w:vAlign w:val="top"/>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m2</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灰砂砖</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标准砖</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块</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水泥</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袋装</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t</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碎石</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粒径综合考虑</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m3</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100</w:t>
            </w:r>
          </w:p>
        </w:tc>
      </w:tr>
    </w:tbl>
    <w:p>
      <w:pPr>
        <w:pStyle w:val="8"/>
        <w:rPr>
          <w:rFonts w:hint="eastAsia"/>
          <w:lang w:val="en-US" w:eastAsia="zh-CN"/>
        </w:rPr>
      </w:pPr>
    </w:p>
    <w:p>
      <w:pPr>
        <w:pStyle w:val="8"/>
        <w:rPr>
          <w:rFonts w:hint="default"/>
          <w:lang w:val="en-US" w:eastAsia="zh-CN"/>
        </w:rPr>
      </w:pPr>
      <w:r>
        <w:rPr>
          <w:rFonts w:hint="eastAsia" w:ascii="仿宋" w:hAnsi="仿宋" w:eastAsia="仿宋" w:cs="宋体"/>
          <w:sz w:val="24"/>
          <w:szCs w:val="24"/>
          <w:lang w:val="en-US" w:eastAsia="zh-CN"/>
        </w:rPr>
        <w:t xml:space="preserve">              表2   </w:t>
      </w:r>
      <w:r>
        <w:rPr>
          <w:rFonts w:hint="eastAsia" w:ascii="仿宋" w:hAnsi="仿宋" w:eastAsia="仿宋" w:cs="宋体"/>
          <w:sz w:val="24"/>
          <w:szCs w:val="24"/>
        </w:rPr>
        <w:t>本工程人工及材料价</w:t>
      </w:r>
      <w:r>
        <w:rPr>
          <w:rFonts w:hint="eastAsia" w:ascii="仿宋" w:hAnsi="仿宋" w:eastAsia="仿宋" w:cs="宋体"/>
          <w:sz w:val="24"/>
          <w:szCs w:val="24"/>
          <w:lang w:eastAsia="zh-CN"/>
        </w:rPr>
        <w:t>最新市场价</w:t>
      </w:r>
    </w:p>
    <w:p>
      <w:pPr>
        <w:pStyle w:val="8"/>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val="en-US" w:eastAsia="zh-CN"/>
        </w:rPr>
        <w:drawing>
          <wp:inline distT="0" distB="0" distL="114300" distR="114300">
            <wp:extent cx="5371465" cy="4089400"/>
            <wp:effectExtent l="0" t="0" r="635" b="6350"/>
            <wp:docPr id="1" name="图片 1" descr="微信图片_2023111402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31114025734"/>
                    <pic:cNvPicPr>
                      <a:picLocks noChangeAspect="1"/>
                    </pic:cNvPicPr>
                  </pic:nvPicPr>
                  <pic:blipFill>
                    <a:blip r:embed="rId4"/>
                    <a:stretch>
                      <a:fillRect/>
                    </a:stretch>
                  </pic:blipFill>
                  <pic:spPr>
                    <a:xfrm>
                      <a:off x="0" y="0"/>
                      <a:ext cx="5371465" cy="4089400"/>
                    </a:xfrm>
                    <a:prstGeom prst="rect">
                      <a:avLst/>
                    </a:prstGeom>
                  </pic:spPr>
                </pic:pic>
              </a:graphicData>
            </a:graphic>
          </wp:inline>
        </w:drawing>
      </w:r>
      <w:r>
        <w:rPr>
          <w:rFonts w:hint="eastAsia" w:ascii="仿宋" w:hAnsi="仿宋" w:eastAsia="仿宋" w:cs="宋体"/>
          <w:sz w:val="24"/>
          <w:szCs w:val="24"/>
          <w:lang w:val="en-US" w:eastAsia="zh-CN"/>
        </w:rPr>
        <w:drawing>
          <wp:inline distT="0" distB="0" distL="114300" distR="114300">
            <wp:extent cx="5371465" cy="3459480"/>
            <wp:effectExtent l="0" t="0" r="635" b="7620"/>
            <wp:docPr id="2" name="图片 2" descr="微信图片_2023111402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31114025907"/>
                    <pic:cNvPicPr>
                      <a:picLocks noChangeAspect="1"/>
                    </pic:cNvPicPr>
                  </pic:nvPicPr>
                  <pic:blipFill>
                    <a:blip r:embed="rId5"/>
                    <a:stretch>
                      <a:fillRect/>
                    </a:stretch>
                  </pic:blipFill>
                  <pic:spPr>
                    <a:xfrm>
                      <a:off x="0" y="0"/>
                      <a:ext cx="5371465" cy="3459480"/>
                    </a:xfrm>
                    <a:prstGeom prst="rect">
                      <a:avLst/>
                    </a:prstGeom>
                  </pic:spPr>
                </pic:pic>
              </a:graphicData>
            </a:graphic>
          </wp:inline>
        </w:drawing>
      </w:r>
    </w:p>
    <w:p>
      <w:pPr>
        <w:pStyle w:val="8"/>
        <w:rPr>
          <w:rFonts w:hint="eastAsia" w:ascii="仿宋" w:hAnsi="仿宋" w:eastAsia="仿宋" w:cs="宋体"/>
          <w:sz w:val="24"/>
          <w:szCs w:val="24"/>
          <w:lang w:val="en-US" w:eastAsia="zh-CN"/>
        </w:rPr>
      </w:pPr>
    </w:p>
    <w:p>
      <w:pPr>
        <w:pStyle w:val="8"/>
        <w:rPr>
          <w:rFonts w:hint="eastAsia" w:ascii="仿宋" w:hAnsi="仿宋" w:eastAsia="仿宋" w:cs="宋体"/>
          <w:sz w:val="24"/>
          <w:szCs w:val="24"/>
          <w:lang w:val="en-US" w:eastAsia="zh-CN"/>
        </w:rPr>
      </w:pPr>
    </w:p>
    <w:p>
      <w:pPr>
        <w:pStyle w:val="8"/>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drawing>
          <wp:inline distT="0" distB="0" distL="114300" distR="114300">
            <wp:extent cx="5765800" cy="2120265"/>
            <wp:effectExtent l="0" t="0" r="6350" b="3810"/>
            <wp:docPr id="3" name="图片 3" descr="微信图片_2023111403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31114030247"/>
                    <pic:cNvPicPr>
                      <a:picLocks noChangeAspect="1"/>
                    </pic:cNvPicPr>
                  </pic:nvPicPr>
                  <pic:blipFill>
                    <a:blip r:embed="rId6"/>
                    <a:stretch>
                      <a:fillRect/>
                    </a:stretch>
                  </pic:blipFill>
                  <pic:spPr>
                    <a:xfrm>
                      <a:off x="0" y="0"/>
                      <a:ext cx="5765800" cy="2120265"/>
                    </a:xfrm>
                    <a:prstGeom prst="rect">
                      <a:avLst/>
                    </a:prstGeom>
                  </pic:spPr>
                </pic:pic>
              </a:graphicData>
            </a:graphic>
          </wp:inline>
        </w:drawing>
      </w:r>
    </w:p>
    <w:p>
      <w:pPr>
        <w:pStyle w:val="8"/>
        <w:rPr>
          <w:rFonts w:hint="default" w:ascii="仿宋" w:hAnsi="仿宋" w:eastAsia="仿宋" w:cs="宋体"/>
          <w:sz w:val="24"/>
          <w:szCs w:val="24"/>
          <w:lang w:val="en-US" w:eastAsia="zh-CN"/>
        </w:rPr>
      </w:pPr>
    </w:p>
    <w:p>
      <w:pPr>
        <w:pStyle w:val="8"/>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注：除上表材料人工价格之外的人材机均不做调整。</w:t>
      </w:r>
    </w:p>
    <w:p>
      <w:pPr>
        <w:pStyle w:val="8"/>
        <w:numPr>
          <w:ilvl w:val="0"/>
          <w:numId w:val="0"/>
        </w:numPr>
        <w:ind w:leftChars="0" w:firstLine="2640" w:firstLineChars="1100"/>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表3    本工程部分材料暂估价</w:t>
      </w:r>
    </w:p>
    <w:tbl>
      <w:tblPr>
        <w:tblStyle w:val="10"/>
        <w:tblW w:w="0" w:type="auto"/>
        <w:tblInd w:w="11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2180"/>
        <w:gridCol w:w="2348"/>
        <w:gridCol w:w="1224"/>
        <w:gridCol w:w="1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序号</w:t>
            </w:r>
          </w:p>
        </w:tc>
        <w:tc>
          <w:tcPr>
            <w:tcW w:w="2180"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材料名称</w:t>
            </w:r>
          </w:p>
        </w:tc>
        <w:tc>
          <w:tcPr>
            <w:tcW w:w="2348"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规格、型号</w:t>
            </w:r>
          </w:p>
        </w:tc>
        <w:tc>
          <w:tcPr>
            <w:tcW w:w="1224"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单位</w:t>
            </w:r>
          </w:p>
        </w:tc>
        <w:tc>
          <w:tcPr>
            <w:tcW w:w="1268"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暂估价（元）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螺纹钢</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 xml:space="preserve">直径25~32mm </w:t>
            </w:r>
          </w:p>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 xml:space="preserve"> 三级钢</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t</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2</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商品混凝土</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C30</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t</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瓷砖</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500*500</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4</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钢化玻璃</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&amp;15</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5</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钢制防火门</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单扇</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6</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塑钢窗</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平开式</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230</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（3）根据甘肃省工程量清单总计价程序，按照给定的费率、措施项目清单、其他项目清单，完成计价程序各项费用的计算，形成工程总造价。</w:t>
      </w:r>
    </w:p>
    <w:p>
      <w:pPr>
        <w:numPr>
          <w:ilvl w:val="0"/>
          <w:numId w:val="0"/>
        </w:numPr>
        <w:spacing w:after="120" w:line="360" w:lineRule="auto"/>
        <w:ind w:firstLine="720" w:firstLineChars="300"/>
        <w:jc w:val="left"/>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1）按工程项目所在地规定，安全文明施工费计取方式为：（分部分项工程费中的人工费+机械费）*13.57%</w:t>
      </w:r>
    </w:p>
    <w:p>
      <w:pPr>
        <w:numPr>
          <w:ilvl w:val="0"/>
          <w:numId w:val="0"/>
        </w:numPr>
        <w:spacing w:after="120" w:line="360" w:lineRule="auto"/>
        <w:ind w:leftChars="200" w:firstLine="240" w:firstLineChars="100"/>
        <w:jc w:val="left"/>
        <w:rPr>
          <w:rFonts w:ascii="仿宋" w:hAnsi="仿宋" w:eastAsia="仿宋" w:cs="宋体"/>
          <w:sz w:val="24"/>
          <w:szCs w:val="24"/>
        </w:rPr>
      </w:pPr>
      <w:r>
        <w:rPr>
          <w:rFonts w:hint="eastAsia" w:ascii="仿宋" w:hAnsi="仿宋" w:eastAsia="仿宋" w:cs="宋体"/>
          <w:sz w:val="24"/>
          <w:szCs w:val="24"/>
          <w:lang w:val="en-US" w:eastAsia="zh-CN"/>
        </w:rPr>
        <w:t>2）</w:t>
      </w:r>
      <w:r>
        <w:rPr>
          <w:rFonts w:hint="eastAsia" w:ascii="仿宋" w:hAnsi="仿宋" w:eastAsia="仿宋" w:cs="宋体"/>
          <w:sz w:val="24"/>
          <w:szCs w:val="24"/>
        </w:rPr>
        <w:t>冬雨季施工措施费计取方式为：</w:t>
      </w:r>
      <w:r>
        <w:rPr>
          <w:rFonts w:hint="eastAsia" w:ascii="仿宋" w:hAnsi="仿宋" w:eastAsia="仿宋" w:cs="宋体"/>
          <w:sz w:val="24"/>
          <w:szCs w:val="24"/>
          <w:lang w:val="en-US" w:eastAsia="zh-CN"/>
        </w:rPr>
        <w:t>（分部分项工程费中的人工费+机械费）</w:t>
      </w:r>
      <w:r>
        <w:rPr>
          <w:rFonts w:hint="eastAsia" w:ascii="仿宋" w:hAnsi="仿宋" w:eastAsia="仿宋" w:cs="宋体"/>
          <w:sz w:val="24"/>
          <w:szCs w:val="24"/>
        </w:rPr>
        <w:t>×</w:t>
      </w:r>
      <w:r>
        <w:rPr>
          <w:rFonts w:hint="eastAsia" w:ascii="仿宋" w:hAnsi="仿宋" w:eastAsia="仿宋" w:cs="宋体"/>
          <w:sz w:val="24"/>
          <w:szCs w:val="24"/>
          <w:lang w:val="en-US" w:eastAsia="zh-CN"/>
        </w:rPr>
        <w:t>2.75</w:t>
      </w:r>
      <w:r>
        <w:rPr>
          <w:rFonts w:hint="eastAsia" w:ascii="仿宋" w:hAnsi="仿宋" w:eastAsia="仿宋"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（4）</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 xml:space="preserve">  1）</w:t>
      </w:r>
      <w:r>
        <w:rPr>
          <w:rFonts w:hint="eastAsia" w:ascii="仿宋" w:hAnsi="仿宋" w:eastAsia="仿宋" w:cs="宋体"/>
          <w:sz w:val="24"/>
          <w:szCs w:val="24"/>
          <w:lang w:val="en-US" w:eastAsia="en-US"/>
        </w:rPr>
        <w:t>根据招标文件和工程资料，完成建筑与装饰工程投标报价的编制。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2）</w:t>
      </w:r>
      <w:r>
        <w:rPr>
          <w:rFonts w:hint="eastAsia" w:ascii="仿宋" w:hAnsi="仿宋" w:eastAsia="仿宋" w:cs="宋体"/>
          <w:sz w:val="24"/>
          <w:szCs w:val="24"/>
          <w:lang w:val="en-US" w:eastAsia="en-US"/>
        </w:rPr>
        <w:t>按上述要求编制投标报价，形成投标报价文件（包括：单项工程投标报价汇总表，建筑与装饰工程分部分项工程量清单与计价表、建筑与装饰工程措施项目清单与计价表、建筑与装饰工程其他项目清单与计价表、建筑与装饰工程规费税金计价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 xml:space="preserve">新建文件夹命名为“赛项模块二投标报价编制+抽签号”，文件夹内需包含以下 5个成果：“3.1 </w:t>
      </w:r>
      <w:r>
        <w:rPr>
          <w:rFonts w:hint="eastAsia" w:ascii="仿宋" w:hAnsi="仿宋" w:eastAsia="仿宋" w:cs="宋体"/>
          <w:sz w:val="24"/>
          <w:szCs w:val="24"/>
          <w:lang w:val="en-US" w:eastAsia="zh-CN"/>
        </w:rPr>
        <w:t>项目一</w:t>
      </w:r>
      <w:r>
        <w:rPr>
          <w:rFonts w:hint="eastAsia" w:ascii="仿宋" w:hAnsi="仿宋" w:eastAsia="仿宋" w:cs="宋体"/>
          <w:sz w:val="24"/>
          <w:szCs w:val="24"/>
          <w:lang w:val="en-US" w:eastAsia="en-US"/>
        </w:rPr>
        <w:t>投标计价文件”、“3.2</w:t>
      </w:r>
      <w:r>
        <w:rPr>
          <w:rFonts w:hint="eastAsia" w:ascii="仿宋" w:hAnsi="仿宋" w:eastAsia="仿宋" w:cs="宋体"/>
          <w:sz w:val="24"/>
          <w:szCs w:val="24"/>
          <w:lang w:val="en-US" w:eastAsia="zh-CN"/>
        </w:rPr>
        <w:t>项目一</w:t>
      </w:r>
      <w:r>
        <w:rPr>
          <w:rFonts w:hint="eastAsia" w:ascii="仿宋" w:hAnsi="仿宋" w:eastAsia="仿宋" w:cs="宋体"/>
          <w:sz w:val="24"/>
          <w:szCs w:val="24"/>
          <w:lang w:val="en-US" w:eastAsia="en-US"/>
        </w:rPr>
        <w:t xml:space="preserve">单项工程投标报价汇总表”PDF格式、“3.3 </w:t>
      </w:r>
      <w:r>
        <w:rPr>
          <w:rFonts w:hint="eastAsia" w:ascii="仿宋" w:hAnsi="仿宋" w:eastAsia="仿宋" w:cs="宋体"/>
          <w:sz w:val="24"/>
          <w:szCs w:val="24"/>
          <w:lang w:val="en-US" w:eastAsia="zh-CN"/>
        </w:rPr>
        <w:t>项目一</w:t>
      </w:r>
      <w:r>
        <w:rPr>
          <w:rFonts w:hint="eastAsia" w:ascii="仿宋" w:hAnsi="仿宋" w:eastAsia="仿宋" w:cs="宋体"/>
          <w:sz w:val="24"/>
          <w:szCs w:val="24"/>
          <w:lang w:val="en-US" w:eastAsia="en-US"/>
        </w:rPr>
        <w:t xml:space="preserve">建筑与装饰工程分部分项工程量清单与计价表”PDF格式、“3.4 </w:t>
      </w:r>
      <w:r>
        <w:rPr>
          <w:rFonts w:hint="eastAsia" w:ascii="仿宋" w:hAnsi="仿宋" w:eastAsia="仿宋" w:cs="宋体"/>
          <w:sz w:val="24"/>
          <w:szCs w:val="24"/>
          <w:lang w:val="en-US" w:eastAsia="zh-CN"/>
        </w:rPr>
        <w:t>项目一</w:t>
      </w:r>
      <w:r>
        <w:rPr>
          <w:rFonts w:hint="eastAsia" w:ascii="仿宋" w:hAnsi="仿宋" w:eastAsia="仿宋" w:cs="宋体"/>
          <w:sz w:val="24"/>
          <w:szCs w:val="24"/>
          <w:lang w:val="en-US" w:eastAsia="en-US"/>
        </w:rPr>
        <w:t xml:space="preserve">安装工程给排水分部分项工程量清单与计价表”PDF格式，“3.5 </w:t>
      </w:r>
      <w:r>
        <w:rPr>
          <w:rFonts w:hint="eastAsia" w:ascii="仿宋" w:hAnsi="仿宋" w:eastAsia="仿宋" w:cs="宋体"/>
          <w:sz w:val="24"/>
          <w:szCs w:val="24"/>
          <w:lang w:val="en-US" w:eastAsia="zh-CN"/>
        </w:rPr>
        <w:t>项目一</w:t>
      </w:r>
      <w:r>
        <w:rPr>
          <w:rFonts w:hint="eastAsia" w:ascii="仿宋" w:hAnsi="仿宋" w:eastAsia="仿宋" w:cs="宋体"/>
          <w:sz w:val="24"/>
          <w:szCs w:val="24"/>
          <w:lang w:val="en-US" w:eastAsia="en-US"/>
        </w:rPr>
        <w:t>安装工程电气分部分项工程量清单与计价表”PDF格式。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0" w:leftChars="0"/>
        <w:textAlignment w:val="auto"/>
        <w:rPr>
          <w:rFonts w:hint="eastAsia" w:ascii="仿宋" w:hAnsi="仿宋" w:eastAsia="仿宋" w:cs="宋体"/>
          <w:sz w:val="24"/>
          <w:szCs w:val="24"/>
          <w:lang w:val="en-US" w:eastAsia="zh-CN"/>
        </w:rPr>
      </w:pPr>
    </w:p>
    <w:p>
      <w:pPr>
        <w:pStyle w:val="8"/>
        <w:rPr>
          <w:rFonts w:hint="eastAsia"/>
          <w:lang w:val="en-US" w:eastAsia="zh-CN"/>
        </w:rPr>
      </w:pPr>
    </w:p>
    <w:p>
      <w:pPr>
        <w:numPr>
          <w:ilvl w:val="0"/>
          <w:numId w:val="2"/>
        </w:numPr>
        <w:spacing w:line="360" w:lineRule="auto"/>
        <w:jc w:val="left"/>
        <w:rPr>
          <w:rFonts w:ascii="仿宋" w:hAnsi="仿宋" w:eastAsia="仿宋" w:cs="宋体"/>
          <w:b/>
          <w:bCs/>
          <w:sz w:val="24"/>
          <w:szCs w:val="24"/>
        </w:rPr>
      </w:pPr>
      <w:r>
        <w:rPr>
          <w:rFonts w:hint="eastAsia" w:ascii="仿宋" w:hAnsi="仿宋" w:eastAsia="仿宋" w:cs="宋体"/>
          <w:b/>
          <w:bCs/>
          <w:sz w:val="24"/>
          <w:szCs w:val="24"/>
        </w:rPr>
        <w:t>安装工程投标报价文件的编制（共30分）</w:t>
      </w:r>
    </w:p>
    <w:p>
      <w:pPr>
        <w:spacing w:line="360" w:lineRule="auto"/>
        <w:rPr>
          <w:rFonts w:ascii="仿宋" w:hAnsi="仿宋" w:eastAsia="仿宋" w:cs="宋体"/>
          <w:b/>
          <w:bCs/>
          <w:sz w:val="24"/>
          <w:szCs w:val="24"/>
        </w:rPr>
      </w:pPr>
      <w:r>
        <w:rPr>
          <w:rFonts w:hint="eastAsia" w:ascii="仿宋" w:hAnsi="仿宋" w:eastAsia="仿宋" w:cs="宋体"/>
          <w:b/>
          <w:bCs/>
          <w:sz w:val="24"/>
          <w:szCs w:val="24"/>
        </w:rPr>
        <w:t>1、电气工程投标报价文件的编制</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1</w:t>
      </w:r>
      <w:r>
        <w:rPr>
          <w:rFonts w:hint="eastAsia" w:ascii="仿宋" w:hAnsi="仿宋" w:eastAsia="仿宋" w:cs="宋体"/>
          <w:sz w:val="24"/>
          <w:szCs w:val="24"/>
          <w:lang w:eastAsia="zh-CN"/>
        </w:rPr>
        <w:t>）</w:t>
      </w:r>
      <w:r>
        <w:rPr>
          <w:rFonts w:hint="eastAsia" w:ascii="仿宋" w:hAnsi="仿宋" w:eastAsia="仿宋" w:cs="宋体"/>
          <w:sz w:val="24"/>
          <w:szCs w:val="24"/>
        </w:rPr>
        <w:t>编制依据：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eastAsia="zh-CN"/>
        </w:rPr>
      </w:pPr>
      <w:r>
        <w:rPr>
          <w:rFonts w:hint="eastAsia" w:ascii="仿宋" w:hAnsi="仿宋" w:eastAsia="仿宋" w:cs="仿宋"/>
          <w:b w:val="0"/>
          <w:bCs/>
          <w:color w:val="000000"/>
          <w:kern w:val="0"/>
          <w:sz w:val="24"/>
          <w:szCs w:val="24"/>
          <w:lang w:val="en-US" w:eastAsia="zh-CN"/>
        </w:rPr>
        <w:t>《建筑工程工程量清单计价规范》(GB50500-2013)</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仿宋" w:hAnsi="仿宋" w:eastAsia="仿宋" w:cs="仿宋"/>
          <w:sz w:val="24"/>
          <w:szCs w:val="24"/>
        </w:rPr>
      </w:pPr>
      <w:r>
        <w:rPr>
          <w:rFonts w:hint="eastAsia" w:ascii="仿宋" w:hAnsi="仿宋" w:eastAsia="仿宋" w:cs="仿宋"/>
          <w:sz w:val="24"/>
          <w:szCs w:val="24"/>
        </w:rPr>
        <w:t>《通用安装工程计量规范》(GB500856—2013)</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2</w:t>
      </w:r>
      <w:r>
        <w:rPr>
          <w:rFonts w:hint="eastAsia" w:ascii="仿宋" w:hAnsi="仿宋" w:eastAsia="仿宋" w:cs="宋体"/>
          <w:sz w:val="24"/>
          <w:szCs w:val="24"/>
          <w:lang w:eastAsia="zh-CN"/>
        </w:rPr>
        <w:t>）</w:t>
      </w:r>
      <w:r>
        <w:rPr>
          <w:rFonts w:hint="eastAsia" w:ascii="仿宋" w:hAnsi="仿宋" w:eastAsia="仿宋" w:cs="宋体"/>
          <w:sz w:val="24"/>
          <w:szCs w:val="24"/>
        </w:rPr>
        <w:t>工程概况</w:t>
      </w:r>
    </w:p>
    <w:p>
      <w:pPr>
        <w:spacing w:line="360" w:lineRule="auto"/>
        <w:jc w:val="left"/>
        <w:rPr>
          <w:rFonts w:hint="eastAsia" w:ascii="仿宋" w:hAnsi="仿宋" w:eastAsia="仿宋" w:cs="宋体"/>
          <w:sz w:val="24"/>
          <w:szCs w:val="24"/>
          <w:lang w:val="en-US" w:eastAsia="zh-CN"/>
        </w:rPr>
      </w:pPr>
      <w:r>
        <w:rPr>
          <w:rFonts w:hint="eastAsia" w:ascii="仿宋" w:hAnsi="仿宋" w:eastAsia="仿宋" w:cs="宋体"/>
          <w:sz w:val="24"/>
          <w:szCs w:val="24"/>
        </w:rPr>
        <w:t>工程名称：</w:t>
      </w:r>
      <w:r>
        <w:rPr>
          <w:rFonts w:hint="eastAsia" w:ascii="仿宋" w:hAnsi="仿宋" w:eastAsia="仿宋" w:cs="宋体"/>
          <w:sz w:val="24"/>
          <w:szCs w:val="24"/>
          <w:lang w:val="en-US" w:eastAsia="zh-CN"/>
        </w:rPr>
        <w:t>项目一</w:t>
      </w:r>
    </w:p>
    <w:p>
      <w:pPr>
        <w:spacing w:line="360" w:lineRule="auto"/>
        <w:jc w:val="left"/>
        <w:rPr>
          <w:rFonts w:ascii="仿宋" w:hAnsi="仿宋" w:eastAsia="仿宋" w:cs="宋体"/>
          <w:sz w:val="24"/>
          <w:szCs w:val="24"/>
        </w:rPr>
      </w:pPr>
      <w:r>
        <w:rPr>
          <w:rFonts w:hint="eastAsia" w:ascii="仿宋" w:hAnsi="仿宋" w:eastAsia="仿宋" w:cs="宋体"/>
          <w:sz w:val="24"/>
          <w:szCs w:val="24"/>
        </w:rPr>
        <w:t>已公示的招标最高限价如下：</w:t>
      </w:r>
    </w:p>
    <w:p>
      <w:pPr>
        <w:spacing w:line="360" w:lineRule="auto"/>
        <w:jc w:val="left"/>
        <w:rPr>
          <w:rFonts w:ascii="仿宋" w:hAnsi="仿宋" w:eastAsia="仿宋" w:cs="宋体"/>
          <w:sz w:val="24"/>
          <w:szCs w:val="24"/>
        </w:rPr>
      </w:pPr>
      <w:r>
        <w:rPr>
          <w:rFonts w:hint="eastAsia" w:ascii="仿宋" w:hAnsi="仿宋" w:eastAsia="仿宋" w:cs="宋体"/>
          <w:sz w:val="24"/>
          <w:szCs w:val="24"/>
        </w:rPr>
        <w:t>招标最高限价：</w:t>
      </w:r>
      <w:r>
        <w:rPr>
          <w:rFonts w:hint="eastAsia" w:ascii="仿宋" w:hAnsi="仿宋" w:eastAsia="仿宋" w:cs="宋体"/>
          <w:sz w:val="24"/>
          <w:szCs w:val="24"/>
          <w:lang w:val="en-US" w:eastAsia="zh-CN"/>
        </w:rPr>
        <w:t>xxxx</w:t>
      </w:r>
      <w:r>
        <w:rPr>
          <w:rFonts w:hint="eastAsia" w:ascii="仿宋" w:hAnsi="仿宋" w:eastAsia="仿宋" w:cs="宋体"/>
          <w:sz w:val="24"/>
          <w:szCs w:val="24"/>
        </w:rPr>
        <w:t>元</w:t>
      </w:r>
    </w:p>
    <w:p>
      <w:pPr>
        <w:spacing w:line="360" w:lineRule="auto"/>
        <w:jc w:val="left"/>
        <w:rPr>
          <w:rFonts w:hint="eastAsia" w:ascii="仿宋" w:hAnsi="仿宋" w:eastAsia="仿宋" w:cs="宋体"/>
          <w:sz w:val="24"/>
          <w:szCs w:val="24"/>
          <w:lang w:eastAsia="zh-CN"/>
        </w:rPr>
      </w:pPr>
      <w:r>
        <w:rPr>
          <w:rFonts w:hint="eastAsia" w:ascii="仿宋" w:hAnsi="仿宋" w:eastAsia="仿宋" w:cs="宋体"/>
          <w:sz w:val="24"/>
          <w:szCs w:val="24"/>
        </w:rPr>
        <w:t>大写：</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仿宋" w:hAnsi="仿宋" w:eastAsia="仿宋" w:cs="宋体"/>
          <w:sz w:val="24"/>
          <w:szCs w:val="24"/>
        </w:rPr>
      </w:pP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工程量清单及清单定额、给定的材料主材等计价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ascii="仿宋" w:hAnsi="仿宋" w:eastAsia="仿宋" w:cs="宋体"/>
          <w:sz w:val="24"/>
          <w:szCs w:val="24"/>
        </w:rPr>
      </w:pPr>
      <w:r>
        <w:rPr>
          <w:rFonts w:hint="eastAsia" w:ascii="仿宋" w:hAnsi="仿宋" w:eastAsia="仿宋" w:cs="宋体"/>
          <w:sz w:val="24"/>
          <w:szCs w:val="24"/>
          <w:lang w:val="en-US" w:eastAsia="zh-CN"/>
        </w:rPr>
        <w:t>（4）按以下给定的</w:t>
      </w:r>
      <w:r>
        <w:rPr>
          <w:rFonts w:hint="eastAsia" w:ascii="仿宋" w:hAnsi="仿宋" w:eastAsia="仿宋" w:cs="宋体"/>
          <w:b w:val="0"/>
          <w:bCs w:val="0"/>
          <w:sz w:val="24"/>
          <w:szCs w:val="24"/>
        </w:rPr>
        <w:t>计价资料</w:t>
      </w:r>
      <w:r>
        <w:rPr>
          <w:rFonts w:hint="eastAsia" w:ascii="仿宋" w:hAnsi="仿宋" w:eastAsia="仿宋" w:cs="宋体"/>
          <w:sz w:val="24"/>
          <w:szCs w:val="24"/>
          <w:lang w:val="en-US" w:eastAsia="zh-CN"/>
        </w:rPr>
        <w:t>和</w:t>
      </w:r>
      <w:r>
        <w:rPr>
          <w:rFonts w:hint="eastAsia" w:ascii="仿宋" w:hAnsi="仿宋" w:eastAsia="仿宋" w:cs="仿宋"/>
          <w:sz w:val="24"/>
          <w:szCs w:val="24"/>
        </w:rPr>
        <w:t>《通用安装工程计量规范》(GB500856—2013)</w:t>
      </w:r>
      <w:r>
        <w:rPr>
          <w:rFonts w:hint="eastAsia" w:ascii="仿宋" w:hAnsi="仿宋" w:eastAsia="仿宋" w:cs="宋体"/>
          <w:sz w:val="24"/>
          <w:szCs w:val="24"/>
        </w:rPr>
        <w:t>进行材料价格调整，参考表格如下（没有给出的不予调整）</w:t>
      </w:r>
      <w:r>
        <w:rPr>
          <w:rFonts w:ascii="仿宋" w:hAnsi="仿宋" w:eastAsia="仿宋"/>
          <w:sz w:val="24"/>
          <w:szCs w:val="24"/>
        </w:rPr>
        <w:fldChar w:fldCharType="begin"/>
      </w:r>
      <w:r>
        <w:rPr>
          <w:rFonts w:ascii="仿宋" w:hAnsi="仿宋" w:eastAsia="仿宋"/>
          <w:sz w:val="24"/>
          <w:szCs w:val="24"/>
        </w:rPr>
        <w:instrText xml:space="preserve"> LINK Excel.Sheet.12 "C:\\Users\\dux\\Desktop\\大赛相关\\国赛\\安装样题3套\\安装计价样题1\\材料价格参考表.xlsx" "Sheet1!R1C1:R11C4" \a \f 4 \h  \* MERGEFORMAT </w:instrText>
      </w:r>
      <w:r>
        <w:rPr>
          <w:rFonts w:ascii="仿宋" w:hAnsi="仿宋" w:eastAsia="仿宋"/>
          <w:sz w:val="24"/>
          <w:szCs w:val="24"/>
        </w:rPr>
        <w:fldChar w:fldCharType="separate"/>
      </w:r>
    </w:p>
    <w:tbl>
      <w:tblPr>
        <w:tblStyle w:val="9"/>
        <w:tblW w:w="7948" w:type="dxa"/>
        <w:tblInd w:w="0" w:type="dxa"/>
        <w:tblLayout w:type="autofit"/>
        <w:tblCellMar>
          <w:top w:w="0" w:type="dxa"/>
          <w:left w:w="108" w:type="dxa"/>
          <w:bottom w:w="0" w:type="dxa"/>
          <w:right w:w="108" w:type="dxa"/>
        </w:tblCellMar>
      </w:tblPr>
      <w:tblGrid>
        <w:gridCol w:w="2130"/>
        <w:gridCol w:w="2719"/>
        <w:gridCol w:w="912"/>
        <w:gridCol w:w="2187"/>
      </w:tblGrid>
      <w:tr>
        <w:tblPrEx>
          <w:tblCellMar>
            <w:top w:w="0" w:type="dxa"/>
            <w:left w:w="108" w:type="dxa"/>
            <w:bottom w:w="0" w:type="dxa"/>
            <w:right w:w="108" w:type="dxa"/>
          </w:tblCellMar>
        </w:tblPrEx>
        <w:trPr>
          <w:trHeight w:val="557" w:hRule="atLeast"/>
        </w:trPr>
        <w:tc>
          <w:tcPr>
            <w:tcW w:w="213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名称</w:t>
            </w:r>
          </w:p>
        </w:tc>
        <w:tc>
          <w:tcPr>
            <w:tcW w:w="2719"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规格型号</w:t>
            </w:r>
          </w:p>
        </w:tc>
        <w:tc>
          <w:tcPr>
            <w:tcW w:w="912"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单位</w:t>
            </w:r>
          </w:p>
        </w:tc>
        <w:tc>
          <w:tcPr>
            <w:tcW w:w="2187"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不含税市场价（元）</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rPr>
            </w:pPr>
            <w:r>
              <w:rPr>
                <w:rFonts w:hint="eastAsia" w:ascii="仿宋" w:hAnsi="仿宋" w:eastAsia="仿宋" w:cs="宋体"/>
                <w:sz w:val="24"/>
                <w:szCs w:val="24"/>
                <w:lang w:val="en-US" w:eastAsia="zh-CN"/>
              </w:rPr>
              <w:t>低压开关柜</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800*800*2200</w:t>
            </w:r>
          </w:p>
        </w:tc>
        <w:tc>
          <w:tcPr>
            <w:tcW w:w="912" w:type="dxa"/>
            <w:tcBorders>
              <w:top w:val="nil"/>
              <w:left w:val="nil"/>
              <w:bottom w:val="single" w:color="auto" w:sz="4" w:space="0"/>
              <w:right w:val="single" w:color="auto" w:sz="4" w:space="0"/>
            </w:tcBorders>
            <w:shd w:val="clear" w:color="auto" w:fill="auto"/>
            <w:noWrap/>
            <w:vAlign w:val="center"/>
          </w:tcPr>
          <w:p>
            <w:pPr>
              <w:rPr>
                <w:rFonts w:hint="eastAsia" w:eastAsiaTheme="minorEastAsia"/>
                <w:lang w:eastAsia="zh-CN"/>
              </w:rPr>
            </w:pPr>
            <w:r>
              <w:rPr>
                <w:rFonts w:hint="eastAsia"/>
                <w:lang w:val="en-US" w:eastAsia="zh-CN"/>
              </w:rPr>
              <w:t>台</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1000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rPr>
            </w:pPr>
            <w:r>
              <w:rPr>
                <w:rFonts w:hint="eastAsia" w:ascii="仿宋" w:hAnsi="仿宋" w:eastAsia="仿宋" w:cs="宋体"/>
                <w:sz w:val="24"/>
                <w:szCs w:val="24"/>
                <w:lang w:val="en-US" w:eastAsia="zh-CN"/>
              </w:rPr>
              <w:t>吸顶式单管荧光灯</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eastAsia="zh-CN"/>
              </w:rPr>
            </w:pPr>
            <w:r>
              <w:rPr>
                <w:rFonts w:hint="eastAsia" w:ascii="仿宋" w:hAnsi="仿宋" w:eastAsia="仿宋" w:cs="宋体"/>
                <w:sz w:val="24"/>
                <w:szCs w:val="24"/>
                <w:lang w:val="en-US" w:eastAsia="zh-CN"/>
              </w:rPr>
              <w:t>套</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200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工厂防爆灯</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套</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120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三相插座</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60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开关插座盒</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eastAsia="zh-CN"/>
              </w:rPr>
            </w:pPr>
            <w:r>
              <w:rPr>
                <w:rFonts w:hint="eastAsia" w:ascii="仿宋" w:hAnsi="仿宋" w:eastAsia="仿宋" w:cs="宋体"/>
                <w:sz w:val="24"/>
                <w:szCs w:val="24"/>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eastAsia="zh-CN"/>
              </w:rPr>
            </w:pPr>
            <w:r>
              <w:rPr>
                <w:rFonts w:hint="eastAsia" w:ascii="仿宋" w:hAnsi="仿宋" w:eastAsia="仿宋" w:cs="宋体"/>
                <w:sz w:val="24"/>
                <w:szCs w:val="24"/>
                <w:lang w:val="en-US" w:eastAsia="zh-CN"/>
              </w:rPr>
              <w:t>避雷网</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m</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35</w:t>
            </w:r>
          </w:p>
        </w:tc>
      </w:tr>
    </w:tbl>
    <w:p>
      <w:pPr>
        <w:spacing w:line="360" w:lineRule="auto"/>
        <w:jc w:val="left"/>
        <w:rPr>
          <w:rFonts w:hint="eastAsia" w:ascii="仿宋" w:hAnsi="仿宋" w:eastAsia="仿宋" w:cs="仿宋"/>
          <w:sz w:val="24"/>
          <w:szCs w:val="24"/>
          <w:lang w:val="en-US" w:eastAsia="zh-CN"/>
        </w:rPr>
      </w:pPr>
      <w:r>
        <w:rPr>
          <w:rFonts w:ascii="仿宋" w:hAnsi="仿宋" w:eastAsia="仿宋" w:cs="宋体"/>
          <w:sz w:val="24"/>
          <w:szCs w:val="24"/>
        </w:rPr>
        <w:fldChar w:fldCharType="end"/>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5</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按</w:t>
      </w: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val="en-US" w:eastAsia="zh-CN"/>
        </w:rPr>
        <w:t>A.</w:t>
      </w:r>
      <w:r>
        <w:rPr>
          <w:rFonts w:hint="eastAsia" w:ascii="仿宋" w:hAnsi="仿宋" w:eastAsia="仿宋" w:cs="宋体"/>
          <w:sz w:val="24"/>
          <w:szCs w:val="24"/>
        </w:rPr>
        <w:t>进行总价措施费用中安全文明施工费及</w:t>
      </w:r>
      <w:r>
        <w:rPr>
          <w:rFonts w:hint="eastAsia" w:ascii="仿宋" w:hAnsi="仿宋" w:eastAsia="仿宋" w:cs="宋体"/>
          <w:sz w:val="24"/>
          <w:szCs w:val="24"/>
          <w:lang w:val="en-US" w:eastAsia="zh-CN"/>
        </w:rPr>
        <w:t>二次搬运</w:t>
      </w:r>
      <w:r>
        <w:rPr>
          <w:rFonts w:hint="eastAsia" w:ascii="仿宋" w:hAnsi="仿宋" w:eastAsia="仿宋" w:cs="宋体"/>
          <w:sz w:val="24"/>
          <w:szCs w:val="24"/>
        </w:rPr>
        <w:t>费用的计取；</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B.</w:t>
      </w:r>
      <w:r>
        <w:rPr>
          <w:rFonts w:hint="eastAsia" w:ascii="仿宋" w:hAnsi="仿宋" w:eastAsia="仿宋" w:cs="宋体"/>
          <w:sz w:val="24"/>
          <w:szCs w:val="24"/>
        </w:rPr>
        <w:t>为了保障工期，在措施项目费中记取夜间施工增加费</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C.</w:t>
      </w:r>
      <w:r>
        <w:rPr>
          <w:rFonts w:hint="eastAsia" w:ascii="仿宋" w:hAnsi="仿宋" w:eastAsia="仿宋" w:cs="宋体"/>
          <w:sz w:val="24"/>
          <w:szCs w:val="24"/>
        </w:rPr>
        <w:t>投标企业的安装工程人工费是市场价按</w:t>
      </w:r>
      <w:r>
        <w:rPr>
          <w:rFonts w:hint="eastAsia" w:ascii="仿宋" w:hAnsi="仿宋" w:eastAsia="仿宋" w:cs="宋体"/>
          <w:sz w:val="24"/>
          <w:szCs w:val="24"/>
          <w:lang w:val="en-US" w:eastAsia="zh-CN"/>
        </w:rPr>
        <w:t>一类220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二类180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三类120</w:t>
      </w:r>
      <w:r>
        <w:rPr>
          <w:rFonts w:hint="eastAsia" w:ascii="仿宋" w:hAnsi="仿宋" w:eastAsia="仿宋" w:cs="宋体"/>
          <w:sz w:val="24"/>
          <w:szCs w:val="24"/>
        </w:rPr>
        <w:t xml:space="preserve">元/工日计取； </w:t>
      </w:r>
    </w:p>
    <w:p>
      <w:pPr>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D.</w:t>
      </w:r>
      <w:r>
        <w:rPr>
          <w:rFonts w:hint="eastAsia" w:ascii="仿宋" w:hAnsi="仿宋" w:eastAsia="仿宋" w:cs="宋体"/>
          <w:sz w:val="24"/>
          <w:szCs w:val="24"/>
        </w:rPr>
        <w:t>安装工程企业管理费率、利润率（以人工费为基数）分别为</w:t>
      </w:r>
      <w:r>
        <w:rPr>
          <w:rFonts w:hint="eastAsia" w:ascii="仿宋" w:hAnsi="仿宋" w:eastAsia="仿宋" w:cs="宋体"/>
          <w:sz w:val="24"/>
          <w:szCs w:val="24"/>
          <w:lang w:val="en-US" w:eastAsia="zh-CN"/>
        </w:rPr>
        <w:t>16</w:t>
      </w:r>
      <w:r>
        <w:rPr>
          <w:rFonts w:hint="eastAsia" w:ascii="仿宋" w:hAnsi="仿宋" w:eastAsia="仿宋" w:cs="宋体"/>
          <w:sz w:val="24"/>
          <w:szCs w:val="24"/>
        </w:rPr>
        <w:t>%、</w:t>
      </w:r>
      <w:r>
        <w:rPr>
          <w:rFonts w:hint="eastAsia" w:ascii="仿宋" w:hAnsi="仿宋" w:eastAsia="仿宋" w:cs="宋体"/>
          <w:sz w:val="24"/>
          <w:szCs w:val="24"/>
          <w:lang w:val="en-US" w:eastAsia="zh-CN"/>
        </w:rPr>
        <w:t>15</w:t>
      </w:r>
      <w:r>
        <w:rPr>
          <w:rFonts w:hint="eastAsia" w:ascii="仿宋" w:hAnsi="仿宋" w:eastAsia="仿宋" w:cs="宋体"/>
          <w:sz w:val="24"/>
          <w:szCs w:val="24"/>
        </w:rPr>
        <w:t>%；</w:t>
      </w:r>
    </w:p>
    <w:p>
      <w:pPr>
        <w:spacing w:line="360" w:lineRule="auto"/>
        <w:rPr>
          <w:rFonts w:ascii="仿宋" w:hAnsi="仿宋" w:eastAsia="仿宋" w:cs="宋体"/>
          <w:b/>
          <w:bCs/>
          <w:sz w:val="24"/>
          <w:szCs w:val="24"/>
        </w:rPr>
      </w:pPr>
      <w:r>
        <w:rPr>
          <w:rFonts w:hint="eastAsia" w:ascii="仿宋" w:hAnsi="仿宋" w:eastAsia="仿宋" w:cs="宋体"/>
          <w:b/>
          <w:bCs/>
          <w:sz w:val="24"/>
          <w:szCs w:val="24"/>
        </w:rPr>
        <w:t>2、给排水工程投标报价文件的编制</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1</w:t>
      </w:r>
      <w:r>
        <w:rPr>
          <w:rFonts w:hint="eastAsia" w:ascii="仿宋" w:hAnsi="仿宋" w:eastAsia="仿宋" w:cs="宋体"/>
          <w:sz w:val="24"/>
          <w:szCs w:val="24"/>
          <w:lang w:eastAsia="zh-CN"/>
        </w:rPr>
        <w:t>）</w:t>
      </w:r>
      <w:r>
        <w:rPr>
          <w:rFonts w:hint="eastAsia" w:ascii="仿宋" w:hAnsi="仿宋" w:eastAsia="仿宋" w:cs="宋体"/>
          <w:sz w:val="24"/>
          <w:szCs w:val="24"/>
        </w:rPr>
        <w:t>编制依据：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eastAsia="zh-CN"/>
        </w:rPr>
      </w:pPr>
      <w:r>
        <w:rPr>
          <w:rFonts w:hint="eastAsia" w:ascii="仿宋" w:hAnsi="仿宋" w:eastAsia="仿宋" w:cs="仿宋"/>
          <w:b w:val="0"/>
          <w:bCs/>
          <w:color w:val="000000"/>
          <w:kern w:val="0"/>
          <w:sz w:val="24"/>
          <w:szCs w:val="24"/>
          <w:lang w:val="en-US" w:eastAsia="zh-CN"/>
        </w:rPr>
        <w:t>《建筑工程工程量清单计价规范》(GB50500-2013)</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仿宋" w:hAnsi="仿宋" w:eastAsia="仿宋" w:cs="仿宋"/>
          <w:sz w:val="24"/>
          <w:szCs w:val="24"/>
        </w:rPr>
      </w:pPr>
      <w:r>
        <w:rPr>
          <w:rFonts w:hint="eastAsia" w:ascii="仿宋" w:hAnsi="仿宋" w:eastAsia="仿宋" w:cs="仿宋"/>
          <w:sz w:val="24"/>
          <w:szCs w:val="24"/>
        </w:rPr>
        <w:t>《通用安装工程计量规范》(GB500856—2013)</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2</w:t>
      </w:r>
      <w:r>
        <w:rPr>
          <w:rFonts w:hint="eastAsia" w:ascii="仿宋" w:hAnsi="仿宋" w:eastAsia="仿宋" w:cs="宋体"/>
          <w:sz w:val="24"/>
          <w:szCs w:val="24"/>
          <w:lang w:eastAsia="zh-CN"/>
        </w:rPr>
        <w:t>）</w:t>
      </w:r>
      <w:r>
        <w:rPr>
          <w:rFonts w:hint="eastAsia" w:ascii="仿宋" w:hAnsi="仿宋" w:eastAsia="仿宋" w:cs="宋体"/>
          <w:sz w:val="24"/>
          <w:szCs w:val="24"/>
        </w:rPr>
        <w:t>工程概况</w:t>
      </w:r>
    </w:p>
    <w:p>
      <w:pPr>
        <w:spacing w:line="360" w:lineRule="auto"/>
        <w:jc w:val="left"/>
        <w:rPr>
          <w:rFonts w:hint="eastAsia" w:ascii="仿宋" w:hAnsi="仿宋" w:eastAsia="仿宋" w:cs="宋体"/>
          <w:sz w:val="24"/>
          <w:szCs w:val="24"/>
          <w:lang w:val="en-US" w:eastAsia="zh-CN"/>
        </w:rPr>
      </w:pPr>
      <w:r>
        <w:rPr>
          <w:rFonts w:hint="eastAsia" w:ascii="仿宋" w:hAnsi="仿宋" w:eastAsia="仿宋" w:cs="宋体"/>
          <w:sz w:val="24"/>
          <w:szCs w:val="24"/>
        </w:rPr>
        <w:t>工程名称：</w:t>
      </w:r>
      <w:r>
        <w:rPr>
          <w:rFonts w:ascii="仿宋" w:hAnsi="仿宋" w:eastAsia="仿宋" w:cs="宋体"/>
          <w:sz w:val="24"/>
          <w:szCs w:val="24"/>
        </w:rPr>
        <w:t>项目</w:t>
      </w:r>
      <w:r>
        <w:rPr>
          <w:rFonts w:hint="eastAsia" w:ascii="仿宋" w:hAnsi="仿宋" w:eastAsia="仿宋" w:cs="宋体"/>
          <w:sz w:val="24"/>
          <w:szCs w:val="24"/>
          <w:lang w:val="en-US" w:eastAsia="zh-CN"/>
        </w:rPr>
        <w:t>一</w:t>
      </w:r>
    </w:p>
    <w:p>
      <w:pPr>
        <w:spacing w:line="360" w:lineRule="auto"/>
        <w:jc w:val="left"/>
        <w:rPr>
          <w:rFonts w:ascii="仿宋" w:hAnsi="仿宋" w:eastAsia="仿宋" w:cs="宋体"/>
          <w:sz w:val="24"/>
          <w:szCs w:val="24"/>
        </w:rPr>
      </w:pPr>
      <w:r>
        <w:rPr>
          <w:rFonts w:hint="eastAsia" w:ascii="仿宋" w:hAnsi="仿宋" w:eastAsia="仿宋" w:cs="宋体"/>
          <w:sz w:val="24"/>
          <w:szCs w:val="24"/>
        </w:rPr>
        <w:t>已公示的招标最高限价如下：</w:t>
      </w:r>
    </w:p>
    <w:p>
      <w:pPr>
        <w:spacing w:line="360" w:lineRule="auto"/>
        <w:jc w:val="left"/>
        <w:rPr>
          <w:rFonts w:ascii="仿宋" w:hAnsi="仿宋" w:eastAsia="仿宋" w:cs="宋体"/>
          <w:sz w:val="24"/>
          <w:szCs w:val="24"/>
        </w:rPr>
      </w:pPr>
      <w:r>
        <w:rPr>
          <w:rFonts w:hint="eastAsia" w:ascii="仿宋" w:hAnsi="仿宋" w:eastAsia="仿宋" w:cs="宋体"/>
          <w:sz w:val="24"/>
          <w:szCs w:val="24"/>
        </w:rPr>
        <w:t>招标最高限价：</w:t>
      </w:r>
      <w:r>
        <w:rPr>
          <w:rFonts w:hint="eastAsia" w:ascii="仿宋" w:hAnsi="仿宋" w:eastAsia="仿宋" w:cs="宋体"/>
          <w:sz w:val="24"/>
          <w:szCs w:val="24"/>
          <w:lang w:val="en-US" w:eastAsia="zh-CN"/>
        </w:rPr>
        <w:t>xxxx</w:t>
      </w:r>
      <w:r>
        <w:rPr>
          <w:rFonts w:hint="eastAsia" w:ascii="仿宋" w:hAnsi="仿宋" w:eastAsia="仿宋" w:cs="宋体"/>
          <w:sz w:val="24"/>
          <w:szCs w:val="24"/>
        </w:rPr>
        <w:t>元</w:t>
      </w:r>
    </w:p>
    <w:p>
      <w:pPr>
        <w:spacing w:line="360" w:lineRule="auto"/>
        <w:jc w:val="left"/>
        <w:rPr>
          <w:rFonts w:hint="eastAsia" w:ascii="仿宋" w:hAnsi="仿宋" w:eastAsia="仿宋" w:cs="宋体"/>
          <w:sz w:val="24"/>
          <w:szCs w:val="24"/>
          <w:lang w:eastAsia="zh-CN"/>
        </w:rPr>
      </w:pPr>
      <w:r>
        <w:rPr>
          <w:rFonts w:hint="eastAsia" w:ascii="仿宋" w:hAnsi="仿宋" w:eastAsia="仿宋" w:cs="宋体"/>
          <w:sz w:val="24"/>
          <w:szCs w:val="24"/>
        </w:rPr>
        <w:t>大写：</w:t>
      </w:r>
      <w:r>
        <w:rPr>
          <w:rFonts w:ascii="仿宋" w:hAnsi="仿宋" w:eastAsia="仿宋" w:cs="宋体"/>
          <w:sz w:val="24"/>
          <w:szCs w:val="24"/>
        </w:rPr>
        <w:t xml:space="preserve"> </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仿宋" w:hAnsi="仿宋" w:eastAsia="仿宋" w:cs="宋体"/>
          <w:sz w:val="24"/>
          <w:szCs w:val="24"/>
        </w:rPr>
      </w:pP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工程量清单及清单定额、给定的材料主材等计价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ascii="仿宋" w:hAnsi="仿宋" w:eastAsia="仿宋" w:cs="宋体"/>
          <w:sz w:val="24"/>
          <w:szCs w:val="24"/>
        </w:rPr>
      </w:pPr>
      <w:r>
        <w:rPr>
          <w:rFonts w:hint="eastAsia" w:ascii="仿宋" w:hAnsi="仿宋" w:eastAsia="仿宋" w:cs="宋体"/>
          <w:sz w:val="24"/>
          <w:szCs w:val="24"/>
          <w:lang w:val="en-US" w:eastAsia="zh-CN"/>
        </w:rPr>
        <w:t>（4）按以下给定的</w:t>
      </w:r>
      <w:r>
        <w:rPr>
          <w:rFonts w:hint="eastAsia" w:ascii="仿宋" w:hAnsi="仿宋" w:eastAsia="仿宋" w:cs="宋体"/>
          <w:b w:val="0"/>
          <w:bCs w:val="0"/>
          <w:sz w:val="24"/>
          <w:szCs w:val="24"/>
        </w:rPr>
        <w:t>计价资料</w:t>
      </w:r>
      <w:r>
        <w:rPr>
          <w:rFonts w:hint="eastAsia" w:ascii="仿宋" w:hAnsi="仿宋" w:eastAsia="仿宋" w:cs="宋体"/>
          <w:sz w:val="24"/>
          <w:szCs w:val="24"/>
          <w:lang w:val="en-US" w:eastAsia="zh-CN"/>
        </w:rPr>
        <w:t>和</w:t>
      </w:r>
      <w:r>
        <w:rPr>
          <w:rFonts w:hint="eastAsia" w:ascii="仿宋" w:hAnsi="仿宋" w:eastAsia="仿宋" w:cs="仿宋"/>
          <w:sz w:val="24"/>
          <w:szCs w:val="24"/>
        </w:rPr>
        <w:t>《通用安装工程计量规范》(GB500856—2013)</w:t>
      </w:r>
      <w:r>
        <w:rPr>
          <w:rFonts w:hint="eastAsia" w:ascii="仿宋" w:hAnsi="仿宋" w:eastAsia="仿宋" w:cs="宋体"/>
          <w:sz w:val="24"/>
          <w:szCs w:val="24"/>
        </w:rPr>
        <w:t>进行材料价格调整，参考表格如下（没有给出的不予调整）</w:t>
      </w:r>
    </w:p>
    <w:tbl>
      <w:tblPr>
        <w:tblStyle w:val="9"/>
        <w:tblW w:w="7494" w:type="dxa"/>
        <w:tblInd w:w="-5" w:type="dxa"/>
        <w:tblLayout w:type="autofit"/>
        <w:tblCellMar>
          <w:top w:w="0" w:type="dxa"/>
          <w:left w:w="108" w:type="dxa"/>
          <w:bottom w:w="0" w:type="dxa"/>
          <w:right w:w="108" w:type="dxa"/>
        </w:tblCellMar>
      </w:tblPr>
      <w:tblGrid>
        <w:gridCol w:w="2008"/>
        <w:gridCol w:w="2564"/>
        <w:gridCol w:w="860"/>
        <w:gridCol w:w="2062"/>
      </w:tblGrid>
      <w:tr>
        <w:tblPrEx>
          <w:tblCellMar>
            <w:top w:w="0" w:type="dxa"/>
            <w:left w:w="108" w:type="dxa"/>
            <w:bottom w:w="0" w:type="dxa"/>
            <w:right w:w="108" w:type="dxa"/>
          </w:tblCellMar>
        </w:tblPrEx>
        <w:trPr>
          <w:trHeight w:val="352" w:hRule="atLeast"/>
        </w:trPr>
        <w:tc>
          <w:tcPr>
            <w:tcW w:w="200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名称</w:t>
            </w:r>
          </w:p>
        </w:tc>
        <w:tc>
          <w:tcPr>
            <w:tcW w:w="2564"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规格型号</w:t>
            </w:r>
          </w:p>
        </w:tc>
        <w:tc>
          <w:tcPr>
            <w:tcW w:w="860"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单位</w:t>
            </w:r>
          </w:p>
        </w:tc>
        <w:tc>
          <w:tcPr>
            <w:tcW w:w="2062"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不含税市场价（元）</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rPr>
              <w:t>清扫口</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rPr>
              <w:t>公称直径75mm以内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rPr>
              <w:t>个</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rPr>
              <w:t>8</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洗涤盆</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个</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300</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闸阀</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20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套</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35</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灭火器</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具</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220</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自动排气阀</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公称直径25mm以内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eastAsia="zh-CN"/>
              </w:rPr>
            </w:pPr>
            <w:r>
              <w:rPr>
                <w:rFonts w:hint="eastAsia" w:ascii="仿宋" w:hAnsi="仿宋" w:eastAsia="仿宋" w:cs="宋体"/>
                <w:color w:val="000000"/>
                <w:sz w:val="24"/>
                <w:szCs w:val="24"/>
                <w:lang w:val="en-US" w:eastAsia="zh-CN"/>
              </w:rPr>
              <w:t>个</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30</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低水箱坐便器</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eastAsia="zh-CN"/>
              </w:rPr>
            </w:pPr>
            <w:r>
              <w:rPr>
                <w:rFonts w:hint="eastAsia" w:ascii="仿宋" w:hAnsi="仿宋" w:eastAsia="仿宋" w:cs="宋体"/>
                <w:color w:val="000000"/>
                <w:sz w:val="24"/>
                <w:szCs w:val="24"/>
                <w:lang w:val="en-US" w:eastAsia="zh-CN"/>
              </w:rPr>
              <w:t>件</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600</w:t>
            </w:r>
          </w:p>
        </w:tc>
      </w:tr>
    </w:tbl>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仿宋" w:hAnsi="仿宋" w:eastAsia="仿宋" w:cs="宋体"/>
          <w:sz w:val="24"/>
          <w:szCs w:val="24"/>
          <w:lang w:eastAsia="zh-CN"/>
        </w:rPr>
      </w:pPr>
    </w:p>
    <w:p>
      <w:pPr>
        <w:spacing w:line="360" w:lineRule="auto"/>
        <w:jc w:val="left"/>
        <w:rPr>
          <w:rFonts w:hint="eastAsia" w:ascii="仿宋" w:hAnsi="仿宋" w:eastAsia="仿宋" w:cs="仿宋"/>
          <w:sz w:val="24"/>
          <w:szCs w:val="24"/>
          <w:lang w:val="en-US" w:eastAsia="zh-CN"/>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5</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按</w:t>
      </w:r>
      <w:bookmarkStart w:id="0" w:name="_GoBack"/>
      <w:bookmarkEnd w:id="0"/>
      <w:r>
        <w:rPr>
          <w:rFonts w:hint="eastAsia" w:ascii="仿宋" w:hAnsi="仿宋" w:eastAsia="仿宋" w:cs="仿宋"/>
          <w:sz w:val="24"/>
          <w:szCs w:val="24"/>
          <w:lang w:val="en-US" w:eastAsia="zh-CN"/>
        </w:rPr>
        <w:t>甘肃省安装工程预算定额（2019年）庆阳基价</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A.进</w:t>
      </w:r>
      <w:r>
        <w:rPr>
          <w:rFonts w:hint="eastAsia" w:ascii="仿宋" w:hAnsi="仿宋" w:eastAsia="仿宋" w:cs="宋体"/>
          <w:sz w:val="24"/>
          <w:szCs w:val="24"/>
        </w:rPr>
        <w:t>行总价措施费用中安全文明施工费及</w:t>
      </w:r>
      <w:r>
        <w:rPr>
          <w:rFonts w:hint="eastAsia" w:ascii="仿宋" w:hAnsi="仿宋" w:eastAsia="仿宋" w:cs="宋体"/>
          <w:sz w:val="24"/>
          <w:szCs w:val="24"/>
          <w:lang w:val="en-US" w:eastAsia="zh-CN"/>
        </w:rPr>
        <w:t>二次搬运</w:t>
      </w:r>
      <w:r>
        <w:rPr>
          <w:rFonts w:hint="eastAsia" w:ascii="仿宋" w:hAnsi="仿宋" w:eastAsia="仿宋" w:cs="宋体"/>
          <w:sz w:val="24"/>
          <w:szCs w:val="24"/>
        </w:rPr>
        <w:t>费用的计取；</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B.</w:t>
      </w:r>
      <w:r>
        <w:rPr>
          <w:rFonts w:hint="eastAsia" w:ascii="仿宋" w:hAnsi="仿宋" w:eastAsia="仿宋" w:cs="宋体"/>
          <w:sz w:val="24"/>
          <w:szCs w:val="24"/>
        </w:rPr>
        <w:t>为了保障工期，在措施项目费中记取夜间施工增加费</w:t>
      </w:r>
      <w:r>
        <w:rPr>
          <w:rFonts w:hint="eastAsia" w:ascii="仿宋" w:hAnsi="仿宋" w:eastAsia="仿宋" w:cs="宋体"/>
          <w:sz w:val="24"/>
          <w:szCs w:val="24"/>
          <w:lang w:eastAsia="zh-CN"/>
        </w:rPr>
        <w:t>。</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C.</w:t>
      </w:r>
      <w:r>
        <w:rPr>
          <w:rFonts w:hint="eastAsia" w:ascii="仿宋" w:hAnsi="仿宋" w:eastAsia="仿宋" w:cs="宋体"/>
          <w:sz w:val="24"/>
          <w:szCs w:val="24"/>
        </w:rPr>
        <w:t>投标企业的安装工程人工费是市场价按</w:t>
      </w:r>
      <w:r>
        <w:rPr>
          <w:rFonts w:hint="eastAsia" w:ascii="仿宋" w:hAnsi="仿宋" w:eastAsia="仿宋" w:cs="宋体"/>
          <w:sz w:val="24"/>
          <w:szCs w:val="24"/>
          <w:lang w:val="en-US" w:eastAsia="zh-CN"/>
        </w:rPr>
        <w:t>一类220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二类180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三类120</w:t>
      </w:r>
      <w:r>
        <w:rPr>
          <w:rFonts w:hint="eastAsia" w:ascii="仿宋" w:hAnsi="仿宋" w:eastAsia="仿宋" w:cs="宋体"/>
          <w:sz w:val="24"/>
          <w:szCs w:val="24"/>
        </w:rPr>
        <w:t xml:space="preserve">元/工日计取； </w:t>
      </w:r>
    </w:p>
    <w:p>
      <w:pPr>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D.</w:t>
      </w:r>
      <w:r>
        <w:rPr>
          <w:rFonts w:hint="eastAsia" w:ascii="仿宋" w:hAnsi="仿宋" w:eastAsia="仿宋" w:cs="宋体"/>
          <w:sz w:val="24"/>
          <w:szCs w:val="24"/>
        </w:rPr>
        <w:t xml:space="preserve">安装工程企业管理费率、利润率（以人工费为基数）分别为 </w:t>
      </w:r>
      <w:r>
        <w:rPr>
          <w:rFonts w:hint="eastAsia" w:ascii="仿宋" w:hAnsi="仿宋" w:eastAsia="仿宋" w:cs="宋体"/>
          <w:sz w:val="24"/>
          <w:szCs w:val="24"/>
          <w:lang w:val="en-US" w:eastAsia="zh-CN"/>
        </w:rPr>
        <w:t>16</w:t>
      </w:r>
      <w:r>
        <w:rPr>
          <w:rFonts w:hint="eastAsia" w:ascii="仿宋" w:hAnsi="仿宋" w:eastAsia="仿宋" w:cs="宋体"/>
          <w:sz w:val="24"/>
          <w:szCs w:val="24"/>
        </w:rPr>
        <w:t>%、</w:t>
      </w:r>
      <w:r>
        <w:rPr>
          <w:rFonts w:hint="eastAsia" w:ascii="仿宋" w:hAnsi="仿宋" w:eastAsia="仿宋" w:cs="宋体"/>
          <w:sz w:val="24"/>
          <w:szCs w:val="24"/>
          <w:lang w:val="en-US" w:eastAsia="zh-CN"/>
        </w:rPr>
        <w:t>15</w:t>
      </w:r>
      <w:r>
        <w:rPr>
          <w:rFonts w:hint="eastAsia" w:ascii="仿宋" w:hAnsi="仿宋" w:eastAsia="仿宋" w:cs="宋体"/>
          <w:sz w:val="24"/>
          <w:szCs w:val="24"/>
        </w:rPr>
        <w:t>%；</w:t>
      </w:r>
    </w:p>
    <w:p>
      <w:pPr>
        <w:numPr>
          <w:ilvl w:val="0"/>
          <w:numId w:val="0"/>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lang w:eastAsia="zh-CN"/>
        </w:rPr>
        <w:t>（</w:t>
      </w:r>
      <w:r>
        <w:rPr>
          <w:rFonts w:hint="eastAsia" w:ascii="仿宋" w:hAnsi="仿宋" w:eastAsia="仿宋" w:cs="宋体"/>
          <w:color w:val="000000"/>
          <w:sz w:val="24"/>
          <w:szCs w:val="24"/>
          <w:lang w:val="en-US" w:eastAsia="zh-CN"/>
        </w:rPr>
        <w:t>6</w:t>
      </w:r>
      <w:r>
        <w:rPr>
          <w:rFonts w:hint="eastAsia" w:ascii="仿宋" w:hAnsi="仿宋" w:eastAsia="仿宋" w:cs="宋体"/>
          <w:color w:val="000000"/>
          <w:sz w:val="24"/>
          <w:szCs w:val="24"/>
          <w:lang w:eastAsia="zh-CN"/>
        </w:rPr>
        <w:t>）</w:t>
      </w:r>
      <w:r>
        <w:rPr>
          <w:rFonts w:hint="eastAsia" w:ascii="仿宋" w:hAnsi="仿宋" w:eastAsia="仿宋" w:cs="宋体"/>
          <w:color w:val="000000"/>
          <w:sz w:val="24"/>
          <w:szCs w:val="24"/>
        </w:rPr>
        <w:t>成果文件提交：</w:t>
      </w:r>
    </w:p>
    <w:p>
      <w:p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依据下发的招标工程量清单、材料价格表及竞赛任务书要求，完成投标报价文件编制并提交提交成果文件</w:t>
      </w:r>
      <w:r>
        <w:rPr>
          <w:rFonts w:ascii="仿宋" w:hAnsi="仿宋" w:eastAsia="仿宋" w:cs="宋体"/>
          <w:color w:val="000000"/>
          <w:sz w:val="24"/>
          <w:szCs w:val="24"/>
        </w:rPr>
        <w:t>,成果文件夹命名为“赛项模块二投标报价编制+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ascii="仿宋" w:hAnsi="仿宋" w:eastAsia="仿宋" w:cs="宋体"/>
          <w:color w:val="000000"/>
          <w:sz w:val="24"/>
          <w:szCs w:val="24"/>
        </w:rPr>
        <w:t>”文件夹中包含以下3个成果</w:t>
      </w:r>
      <w:r>
        <w:rPr>
          <w:rFonts w:hint="eastAsia" w:ascii="仿宋" w:hAnsi="仿宋" w:eastAsia="仿宋" w:cs="宋体"/>
          <w:color w:val="000000"/>
          <w:sz w:val="24"/>
          <w:szCs w:val="24"/>
        </w:rPr>
        <w:t>:</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投标报价原始文件命名为</w:t>
      </w:r>
      <w:r>
        <w:rPr>
          <w:rFonts w:ascii="仿宋" w:hAnsi="仿宋" w:eastAsia="仿宋" w:cs="宋体"/>
          <w:color w:val="000000"/>
          <w:sz w:val="24"/>
          <w:szCs w:val="24"/>
        </w:rPr>
        <w:t xml:space="preserve">: 4.1 </w:t>
      </w:r>
      <w:r>
        <w:rPr>
          <w:rFonts w:hint="eastAsia" w:ascii="仿宋" w:hAnsi="仿宋" w:eastAsia="仿宋" w:cs="宋体"/>
          <w:color w:val="000000"/>
          <w:sz w:val="24"/>
          <w:szCs w:val="24"/>
          <w:lang w:eastAsia="zh-CN"/>
        </w:rPr>
        <w:t>项目一</w:t>
      </w:r>
      <w:r>
        <w:rPr>
          <w:rFonts w:ascii="仿宋" w:hAnsi="仿宋" w:eastAsia="仿宋" w:cs="宋体"/>
          <w:color w:val="000000"/>
          <w:sz w:val="24"/>
          <w:szCs w:val="24"/>
        </w:rPr>
        <w:t>安装工程投标计价文件</w:t>
      </w:r>
      <w:r>
        <w:rPr>
          <w:rFonts w:hint="eastAsia" w:ascii="仿宋" w:hAnsi="仿宋" w:eastAsia="仿宋" w:cs="宋体"/>
          <w:color w:val="000000"/>
          <w:sz w:val="24"/>
          <w:szCs w:val="24"/>
        </w:rPr>
        <w:t>;</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电气分部分项工程量清单与计价表</w:t>
      </w:r>
      <w:r>
        <w:rPr>
          <w:rFonts w:ascii="仿宋" w:hAnsi="仿宋" w:eastAsia="仿宋" w:cs="宋体"/>
          <w:color w:val="000000"/>
          <w:sz w:val="24"/>
          <w:szCs w:val="24"/>
        </w:rPr>
        <w:t>PDF格式命名为:4.</w:t>
      </w:r>
      <w:r>
        <w:rPr>
          <w:rFonts w:hint="eastAsia" w:ascii="仿宋" w:hAnsi="仿宋" w:eastAsia="仿宋" w:cs="宋体"/>
          <w:color w:val="000000"/>
          <w:sz w:val="24"/>
          <w:szCs w:val="24"/>
          <w:lang w:val="en-US" w:eastAsia="zh-CN"/>
        </w:rPr>
        <w:t>2</w:t>
      </w:r>
      <w:r>
        <w:rPr>
          <w:rFonts w:ascii="仿宋" w:hAnsi="仿宋" w:eastAsia="仿宋" w:cs="宋体"/>
          <w:color w:val="000000"/>
          <w:sz w:val="24"/>
          <w:szCs w:val="24"/>
        </w:rPr>
        <w:t xml:space="preserve"> </w:t>
      </w:r>
      <w:r>
        <w:rPr>
          <w:rFonts w:hint="eastAsia" w:ascii="仿宋" w:hAnsi="仿宋" w:eastAsia="仿宋" w:cs="宋体"/>
          <w:color w:val="000000"/>
          <w:sz w:val="24"/>
          <w:szCs w:val="24"/>
          <w:lang w:eastAsia="zh-CN"/>
        </w:rPr>
        <w:t>项目一</w:t>
      </w:r>
      <w:r>
        <w:rPr>
          <w:rFonts w:ascii="仿宋" w:hAnsi="仿宋" w:eastAsia="仿宋" w:cs="宋体"/>
          <w:color w:val="000000"/>
          <w:sz w:val="24"/>
          <w:szCs w:val="24"/>
        </w:rPr>
        <w:t>安装工程电气分部分项工程量清单与计价表</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给排水分部分项工程量清单与计价表</w:t>
      </w:r>
      <w:r>
        <w:rPr>
          <w:rFonts w:ascii="仿宋" w:hAnsi="仿宋" w:eastAsia="仿宋" w:cs="宋体"/>
          <w:color w:val="000000"/>
          <w:sz w:val="24"/>
          <w:szCs w:val="24"/>
        </w:rPr>
        <w:t>PDF格式命名为:4.</w:t>
      </w:r>
      <w:r>
        <w:rPr>
          <w:rFonts w:hint="eastAsia" w:ascii="仿宋" w:hAnsi="仿宋" w:eastAsia="仿宋" w:cs="宋体"/>
          <w:color w:val="000000"/>
          <w:sz w:val="24"/>
          <w:szCs w:val="24"/>
          <w:lang w:val="en-US" w:eastAsia="zh-CN"/>
        </w:rPr>
        <w:t>3</w:t>
      </w:r>
      <w:r>
        <w:rPr>
          <w:rFonts w:ascii="仿宋" w:hAnsi="仿宋" w:eastAsia="仿宋" w:cs="宋体"/>
          <w:color w:val="000000"/>
          <w:sz w:val="24"/>
          <w:szCs w:val="24"/>
        </w:rPr>
        <w:t xml:space="preserve"> </w:t>
      </w:r>
      <w:r>
        <w:rPr>
          <w:rFonts w:hint="eastAsia" w:ascii="仿宋" w:hAnsi="仿宋" w:eastAsia="仿宋" w:cs="宋体"/>
          <w:color w:val="000000"/>
          <w:sz w:val="24"/>
          <w:szCs w:val="24"/>
          <w:lang w:eastAsia="zh-CN"/>
        </w:rPr>
        <w:t>项目一</w:t>
      </w:r>
      <w:r>
        <w:rPr>
          <w:rFonts w:ascii="仿宋" w:hAnsi="仿宋" w:eastAsia="仿宋" w:cs="宋体"/>
          <w:color w:val="000000"/>
          <w:sz w:val="24"/>
          <w:szCs w:val="24"/>
        </w:rPr>
        <w:t>安装工程给排水分部分项工程量清单与计价表</w:t>
      </w:r>
    </w:p>
    <w:p>
      <w:p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以上所有成果保存在“赛项模块二投标报价编制+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hint="eastAsia" w:ascii="仿宋" w:hAnsi="仿宋" w:eastAsia="仿宋" w:cs="宋体"/>
          <w:color w:val="000000"/>
          <w:sz w:val="24"/>
          <w:szCs w:val="24"/>
        </w:rPr>
        <w:t>”文件内提交。</w:t>
      </w:r>
    </w:p>
    <w:p/>
    <w:p>
      <w:pPr>
        <w:pStyle w:val="8"/>
        <w:numPr>
          <w:ilvl w:val="0"/>
          <w:numId w:val="2"/>
        </w:numPr>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价款调整：假设你单位已经中标，进入合同实施阶段，请根据以下资料完成合同交款调整：（共20分）</w:t>
      </w:r>
    </w:p>
    <w:p>
      <w:pPr>
        <w:pStyle w:val="8"/>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1.建筑与装饰工程交款调整（10分）</w:t>
      </w:r>
    </w:p>
    <w:tbl>
      <w:tblPr>
        <w:tblStyle w:val="9"/>
        <w:tblW w:w="999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27"/>
        <w:gridCol w:w="2498"/>
        <w:gridCol w:w="1208"/>
        <w:gridCol w:w="1289"/>
        <w:gridCol w:w="20"/>
        <w:gridCol w:w="24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995" w:type="dxa"/>
            <w:gridSpan w:val="7"/>
            <w:tcBorders>
              <w:top w:val="nil"/>
              <w:left w:val="nil"/>
              <w:right w:val="nil"/>
            </w:tcBorders>
            <w:vAlign w:val="center"/>
          </w:tcPr>
          <w:p>
            <w:pPr>
              <w:spacing w:line="360" w:lineRule="auto"/>
              <w:ind w:firstLine="2160" w:firstLineChars="900"/>
              <w:rPr>
                <w:rFonts w:ascii="仿宋" w:hAnsi="仿宋" w:eastAsia="仿宋"/>
                <w:sz w:val="24"/>
                <w:szCs w:val="24"/>
              </w:rPr>
            </w:pPr>
            <w:r>
              <w:rPr>
                <w:rFonts w:hint="eastAsia" w:ascii="仿宋" w:hAnsi="仿宋" w:eastAsia="仿宋"/>
                <w:sz w:val="24"/>
                <w:szCs w:val="24"/>
              </w:rPr>
              <w:t>工  程  变  更  单</w:t>
            </w:r>
          </w:p>
          <w:p>
            <w:pPr>
              <w:spacing w:line="360" w:lineRule="auto"/>
              <w:rPr>
                <w:rFonts w:ascii="仿宋" w:hAnsi="仿宋" w:eastAsia="仿宋"/>
                <w:sz w:val="24"/>
                <w:szCs w:val="24"/>
              </w:rPr>
            </w:pPr>
            <w:r>
              <w:rPr>
                <w:rFonts w:hint="eastAsia" w:ascii="仿宋" w:hAnsi="仿宋" w:eastAsia="仿宋"/>
                <w:sz w:val="24"/>
                <w:szCs w:val="24"/>
              </w:rPr>
              <w:t>表B4-2                                                         编 号: （</w:t>
            </w:r>
            <w:r>
              <w:rPr>
                <w:rFonts w:hint="eastAsia" w:ascii="仿宋" w:hAnsi="仿宋" w:eastAsia="仿宋"/>
                <w:b/>
                <w:sz w:val="24"/>
                <w:szCs w:val="24"/>
              </w:rPr>
              <w:t>001</w:t>
            </w:r>
            <w:r>
              <w:rPr>
                <w:rFonts w:hint="eastAsia" w:ascii="仿宋" w:hAnsi="仿宋" w:eastAsia="仿宋"/>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170"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工  程  名  称</w:t>
            </w:r>
          </w:p>
        </w:tc>
        <w:tc>
          <w:tcPr>
            <w:tcW w:w="4033" w:type="dxa"/>
            <w:gridSpan w:val="3"/>
            <w:tcBorders>
              <w:right w:val="single" w:color="auto" w:sz="8" w:space="0"/>
            </w:tcBorders>
            <w:vAlign w:val="center"/>
          </w:tcPr>
          <w:p>
            <w:pPr>
              <w:spacing w:line="360" w:lineRule="auto"/>
              <w:rPr>
                <w:rFonts w:hint="default" w:ascii="仿宋" w:hAnsi="仿宋" w:eastAsia="仿宋"/>
                <w:b/>
                <w:sz w:val="24"/>
                <w:szCs w:val="24"/>
                <w:lang w:val="en-US" w:eastAsia="zh-CN"/>
              </w:rPr>
            </w:pPr>
            <w:r>
              <w:rPr>
                <w:rFonts w:hint="eastAsia" w:ascii="仿宋" w:hAnsi="仿宋" w:eastAsia="仿宋"/>
                <w:b/>
                <w:sz w:val="24"/>
                <w:szCs w:val="24"/>
                <w:lang w:val="en-US" w:eastAsia="zh-CN"/>
              </w:rPr>
              <w:t xml:space="preserve">项目一 </w:t>
            </w:r>
          </w:p>
        </w:tc>
        <w:tc>
          <w:tcPr>
            <w:tcW w:w="1309" w:type="dxa"/>
            <w:gridSpan w:val="2"/>
            <w:tcBorders>
              <w:left w:val="single" w:color="auto" w:sz="8" w:space="0"/>
            </w:tcBorders>
            <w:vAlign w:val="center"/>
          </w:tcPr>
          <w:p>
            <w:pPr>
              <w:spacing w:line="360" w:lineRule="auto"/>
              <w:jc w:val="center"/>
              <w:rPr>
                <w:rFonts w:ascii="仿宋" w:hAnsi="仿宋" w:eastAsia="仿宋"/>
                <w:sz w:val="24"/>
                <w:szCs w:val="24"/>
              </w:rPr>
            </w:pPr>
            <w:r>
              <w:rPr>
                <w:rFonts w:hint="eastAsia" w:ascii="仿宋" w:hAnsi="仿宋" w:eastAsia="仿宋"/>
                <w:sz w:val="24"/>
                <w:szCs w:val="24"/>
              </w:rPr>
              <w:t>日 期</w:t>
            </w:r>
          </w:p>
        </w:tc>
        <w:tc>
          <w:tcPr>
            <w:tcW w:w="2483" w:type="dxa"/>
            <w:tcBorders>
              <w:left w:val="single" w:color="auto" w:sz="8" w:space="0"/>
            </w:tcBorders>
            <w:vAlign w:val="center"/>
          </w:tcPr>
          <w:p>
            <w:pPr>
              <w:spacing w:line="360" w:lineRule="auto"/>
              <w:ind w:firstLine="720" w:firstLineChars="300"/>
              <w:rPr>
                <w:rFonts w:ascii="仿宋" w:hAnsi="仿宋" w:eastAsia="仿宋"/>
                <w:sz w:val="24"/>
                <w:szCs w:val="24"/>
              </w:rPr>
            </w:pPr>
            <w:r>
              <w:rPr>
                <w:rFonts w:hint="eastAsia" w:ascii="仿宋" w:hAnsi="仿宋" w:eastAsia="仿宋"/>
                <w:sz w:val="24"/>
                <w:szCs w:val="24"/>
              </w:rPr>
              <w:t>年   月   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致</w:t>
            </w:r>
            <w:r>
              <w:rPr>
                <w:rFonts w:hint="eastAsia" w:ascii="仿宋" w:hAnsi="仿宋" w:eastAsia="仿宋"/>
                <w:sz w:val="24"/>
                <w:szCs w:val="24"/>
                <w:u w:val="single"/>
              </w:rPr>
              <w:t xml:space="preserve"> 某某监理公司  </w:t>
            </w:r>
            <w:r>
              <w:rPr>
                <w:rFonts w:hint="eastAsia" w:ascii="仿宋" w:hAnsi="仿宋" w:eastAsia="仿宋"/>
                <w:b/>
                <w:sz w:val="24"/>
                <w:szCs w:val="24"/>
                <w:u w:val="single"/>
              </w:rPr>
              <w:t xml:space="preserve">          </w:t>
            </w:r>
            <w:r>
              <w:rPr>
                <w:rFonts w:hint="eastAsia" w:ascii="仿宋" w:hAnsi="仿宋" w:eastAsia="仿宋"/>
                <w:sz w:val="24"/>
                <w:szCs w:val="24"/>
              </w:rPr>
              <w:t>（监理单位）：</w:t>
            </w:r>
          </w:p>
          <w:p>
            <w:pPr>
              <w:spacing w:line="360" w:lineRule="auto"/>
              <w:ind w:firstLine="480"/>
              <w:rPr>
                <w:rFonts w:ascii="仿宋" w:hAnsi="仿宋" w:eastAsia="仿宋"/>
                <w:sz w:val="24"/>
                <w:szCs w:val="24"/>
              </w:rPr>
            </w:pPr>
            <w:r>
              <w:rPr>
                <w:rFonts w:hint="eastAsia" w:ascii="仿宋" w:hAnsi="仿宋" w:eastAsia="仿宋"/>
                <w:sz w:val="24"/>
                <w:szCs w:val="24"/>
              </w:rPr>
              <w:t>由于</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原设计说明所有地面砖为10厚地面砖，招标文件规定地面砖为1000*1000浅灰色，实际市场没有规定的地面砖规格，相应颜色的只有600*600规格的地面砖，粘贴效果达不到展示效果等 </w:t>
            </w:r>
            <w:r>
              <w:rPr>
                <w:rFonts w:hint="eastAsia" w:ascii="仿宋" w:hAnsi="仿宋" w:eastAsia="仿宋"/>
                <w:sz w:val="24"/>
                <w:szCs w:val="24"/>
              </w:rPr>
              <w:t xml:space="preserve">的原因，兹提出 </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所有地面砖变更为600*300规格的二次加工砖(600*600切割拼花铺贴)、单价为固定价 </w:t>
            </w:r>
            <w:r>
              <w:rPr>
                <w:rFonts w:hint="eastAsia" w:ascii="仿宋" w:hAnsi="仿宋" w:eastAsia="仿宋"/>
                <w:sz w:val="24"/>
                <w:szCs w:val="24"/>
              </w:rPr>
              <w:t>工程变更（内容详见附件），请予以审批。</w:t>
            </w:r>
          </w:p>
          <w:p>
            <w:pPr>
              <w:spacing w:line="360" w:lineRule="auto"/>
              <w:ind w:firstLine="480"/>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附件：</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原依据：</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 xml:space="preserve">1、设计说明工程做法表 </w:t>
            </w:r>
            <w:r>
              <w:rPr>
                <w:rFonts w:ascii="仿宋" w:hAnsi="仿宋" w:eastAsia="仿宋"/>
                <w:b/>
                <w:sz w:val="24"/>
                <w:szCs w:val="24"/>
              </w:rPr>
              <w:t>“</w:t>
            </w:r>
            <w:r>
              <w:rPr>
                <w:rFonts w:hint="eastAsia" w:ascii="仿宋" w:hAnsi="仿宋" w:eastAsia="仿宋"/>
                <w:b/>
                <w:sz w:val="24"/>
                <w:szCs w:val="24"/>
              </w:rPr>
              <w:t>楼1</w:t>
            </w:r>
            <w:r>
              <w:rPr>
                <w:rFonts w:ascii="仿宋" w:hAnsi="仿宋" w:eastAsia="仿宋"/>
                <w:b/>
                <w:sz w:val="24"/>
                <w:szCs w:val="24"/>
              </w:rPr>
              <w:t>”</w:t>
            </w:r>
            <w:r>
              <w:rPr>
                <w:rFonts w:hint="eastAsia" w:ascii="仿宋" w:hAnsi="仿宋" w:eastAsia="仿宋"/>
                <w:b/>
                <w:sz w:val="24"/>
                <w:szCs w:val="24"/>
              </w:rPr>
              <w:t xml:space="preserve"> 为10厚地面地砖.</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2、招标文件工程量清单“01110200300</w:t>
            </w:r>
            <w:r>
              <w:rPr>
                <w:rFonts w:hint="eastAsia" w:ascii="仿宋" w:hAnsi="仿宋" w:eastAsia="仿宋"/>
                <w:b/>
                <w:sz w:val="24"/>
                <w:szCs w:val="24"/>
                <w:lang w:val="en-US" w:eastAsia="zh-CN"/>
              </w:rPr>
              <w:t>1</w:t>
            </w:r>
            <w:r>
              <w:rPr>
                <w:rFonts w:hint="eastAsia" w:ascii="仿宋" w:hAnsi="仿宋" w:eastAsia="仿宋"/>
                <w:b/>
                <w:sz w:val="24"/>
                <w:szCs w:val="24"/>
              </w:rPr>
              <w:t>”地砖地面工程为10厚1000*1000浅灰色地面砖</w:t>
            </w:r>
          </w:p>
          <w:p>
            <w:pPr>
              <w:spacing w:line="360" w:lineRule="auto"/>
              <w:rPr>
                <w:rFonts w:ascii="仿宋" w:hAnsi="仿宋" w:eastAsia="仿宋"/>
                <w:sz w:val="24"/>
                <w:szCs w:val="24"/>
              </w:rPr>
            </w:pPr>
            <w:r>
              <w:rPr>
                <w:rFonts w:hint="eastAsia" w:ascii="仿宋" w:hAnsi="仿宋" w:eastAsia="仿宋"/>
                <w:sz w:val="24"/>
                <w:szCs w:val="24"/>
              </w:rPr>
              <w:t xml:space="preserve"> 提出单位名称：                             提出单位负责人（签字）：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一致意见：</w:t>
            </w:r>
          </w:p>
          <w:p>
            <w:pPr>
              <w:spacing w:line="360" w:lineRule="auto"/>
              <w:rPr>
                <w:rFonts w:ascii="仿宋" w:hAnsi="仿宋" w:eastAsia="仿宋"/>
                <w:sz w:val="24"/>
                <w:szCs w:val="24"/>
              </w:rPr>
            </w:pPr>
            <w:r>
              <w:rPr>
                <w:rFonts w:hint="eastAsia" w:ascii="仿宋" w:hAnsi="仿宋" w:eastAsia="仿宋"/>
                <w:sz w:val="24"/>
                <w:szCs w:val="24"/>
              </w:rPr>
              <w:t xml:space="preserve">   </w:t>
            </w:r>
            <w:r>
              <w:rPr>
                <w:rFonts w:hint="eastAsia" w:ascii="仿宋" w:hAnsi="仿宋" w:eastAsia="仿宋"/>
                <w:b/>
                <w:sz w:val="24"/>
                <w:szCs w:val="24"/>
              </w:rPr>
              <w:t>1、同意提出变更内容及方案</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2、因为地砖存在二次加工，中间会产生定制，二次搬运，二次运输，一致地砖单价为固定综合单价;</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3、决定地砖固定综合单价为240元/M2工程量按合同约定计算;</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4、施工方式为地砖满贴后再做墙面基层</w:t>
            </w:r>
          </w:p>
          <w:p>
            <w:pPr>
              <w:spacing w:line="360" w:lineRule="auto"/>
              <w:ind w:firstLine="472" w:firstLineChars="196"/>
              <w:rPr>
                <w:rFonts w:ascii="仿宋" w:hAnsi="仿宋" w:eastAsia="仿宋"/>
                <w:b/>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建设单位代表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设计单位代表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监理单位代表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503"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施工单位代表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r>
    </w:tbl>
    <w:p>
      <w:pPr>
        <w:pStyle w:val="8"/>
        <w:spacing w:line="360" w:lineRule="auto"/>
        <w:ind w:left="0" w:leftChars="0" w:firstLine="0" w:firstLineChars="0"/>
        <w:rPr>
          <w:rFonts w:ascii="仿宋" w:hAnsi="仿宋" w:eastAsia="仿宋" w:cs="宋体"/>
          <w:b/>
          <w:bCs/>
          <w:sz w:val="24"/>
          <w:szCs w:val="24"/>
        </w:rPr>
      </w:pPr>
    </w:p>
    <w:p>
      <w:pPr>
        <w:pStyle w:val="8"/>
        <w:numPr>
          <w:ilvl w:val="0"/>
          <w:numId w:val="4"/>
        </w:numPr>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安装工程价款调整（10分）</w:t>
      </w:r>
    </w:p>
    <w:tbl>
      <w:tblPr>
        <w:tblStyle w:val="9"/>
        <w:tblW w:w="999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27"/>
        <w:gridCol w:w="2498"/>
        <w:gridCol w:w="1208"/>
        <w:gridCol w:w="1289"/>
        <w:gridCol w:w="20"/>
        <w:gridCol w:w="24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995" w:type="dxa"/>
            <w:gridSpan w:val="7"/>
            <w:tcBorders>
              <w:top w:val="nil"/>
              <w:left w:val="nil"/>
              <w:right w:val="nil"/>
            </w:tcBorders>
            <w:vAlign w:val="center"/>
          </w:tcPr>
          <w:p>
            <w:pPr>
              <w:spacing w:line="360" w:lineRule="auto"/>
              <w:ind w:firstLine="2160" w:firstLineChars="900"/>
              <w:rPr>
                <w:rFonts w:ascii="仿宋" w:hAnsi="仿宋" w:eastAsia="仿宋"/>
                <w:sz w:val="24"/>
                <w:szCs w:val="24"/>
              </w:rPr>
            </w:pPr>
            <w:r>
              <w:rPr>
                <w:rFonts w:hint="eastAsia" w:ascii="仿宋" w:hAnsi="仿宋" w:eastAsia="仿宋"/>
                <w:sz w:val="24"/>
                <w:szCs w:val="24"/>
              </w:rPr>
              <w:t>工  程  变  更  单</w:t>
            </w:r>
          </w:p>
          <w:p>
            <w:pPr>
              <w:spacing w:line="360" w:lineRule="auto"/>
              <w:rPr>
                <w:rFonts w:ascii="仿宋" w:hAnsi="仿宋" w:eastAsia="仿宋"/>
                <w:sz w:val="24"/>
                <w:szCs w:val="24"/>
              </w:rPr>
            </w:pPr>
            <w:r>
              <w:rPr>
                <w:rFonts w:hint="eastAsia" w:ascii="仿宋" w:hAnsi="仿宋" w:eastAsia="仿宋"/>
                <w:sz w:val="24"/>
                <w:szCs w:val="24"/>
              </w:rPr>
              <w:t>表B4-2                                                         编 号: （</w:t>
            </w:r>
            <w:r>
              <w:rPr>
                <w:rFonts w:hint="eastAsia" w:ascii="仿宋" w:hAnsi="仿宋" w:eastAsia="仿宋"/>
                <w:b/>
                <w:sz w:val="24"/>
                <w:szCs w:val="24"/>
              </w:rPr>
              <w:t>007</w:t>
            </w:r>
            <w:r>
              <w:rPr>
                <w:rFonts w:hint="eastAsia" w:ascii="仿宋" w:hAnsi="仿宋" w:eastAsia="仿宋"/>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170"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工  程  名  称</w:t>
            </w:r>
          </w:p>
        </w:tc>
        <w:tc>
          <w:tcPr>
            <w:tcW w:w="4033" w:type="dxa"/>
            <w:gridSpan w:val="3"/>
            <w:tcBorders>
              <w:right w:val="single" w:color="auto" w:sz="8" w:space="0"/>
            </w:tcBorders>
            <w:vAlign w:val="center"/>
          </w:tcPr>
          <w:p>
            <w:pPr>
              <w:spacing w:line="360" w:lineRule="auto"/>
              <w:rPr>
                <w:rFonts w:ascii="仿宋" w:hAnsi="仿宋" w:eastAsia="仿宋"/>
                <w:b/>
                <w:sz w:val="24"/>
                <w:szCs w:val="24"/>
              </w:rPr>
            </w:pPr>
            <w:r>
              <w:rPr>
                <w:rFonts w:hint="eastAsia" w:ascii="仿宋" w:hAnsi="仿宋" w:eastAsia="仿宋"/>
                <w:b/>
                <w:sz w:val="24"/>
                <w:szCs w:val="24"/>
              </w:rPr>
              <w:t>X</w:t>
            </w:r>
            <w:r>
              <w:rPr>
                <w:rFonts w:ascii="仿宋" w:hAnsi="仿宋" w:eastAsia="仿宋"/>
                <w:b/>
                <w:sz w:val="24"/>
                <w:szCs w:val="24"/>
              </w:rPr>
              <w:t>X</w:t>
            </w:r>
            <w:r>
              <w:rPr>
                <w:rFonts w:hint="eastAsia" w:ascii="仿宋" w:hAnsi="仿宋" w:eastAsia="仿宋"/>
                <w:b/>
                <w:sz w:val="24"/>
                <w:szCs w:val="24"/>
              </w:rPr>
              <w:t>工程</w:t>
            </w:r>
          </w:p>
        </w:tc>
        <w:tc>
          <w:tcPr>
            <w:tcW w:w="1309" w:type="dxa"/>
            <w:gridSpan w:val="2"/>
            <w:tcBorders>
              <w:left w:val="single" w:color="auto" w:sz="8" w:space="0"/>
            </w:tcBorders>
            <w:vAlign w:val="center"/>
          </w:tcPr>
          <w:p>
            <w:pPr>
              <w:spacing w:line="360" w:lineRule="auto"/>
              <w:jc w:val="center"/>
              <w:rPr>
                <w:rFonts w:ascii="仿宋" w:hAnsi="仿宋" w:eastAsia="仿宋"/>
                <w:sz w:val="24"/>
                <w:szCs w:val="24"/>
              </w:rPr>
            </w:pPr>
            <w:r>
              <w:rPr>
                <w:rFonts w:hint="eastAsia" w:ascii="仿宋" w:hAnsi="仿宋" w:eastAsia="仿宋"/>
                <w:sz w:val="24"/>
                <w:szCs w:val="24"/>
              </w:rPr>
              <w:t>日 期</w:t>
            </w:r>
          </w:p>
        </w:tc>
        <w:tc>
          <w:tcPr>
            <w:tcW w:w="2483" w:type="dxa"/>
            <w:tcBorders>
              <w:left w:val="single" w:color="auto" w:sz="8" w:space="0"/>
            </w:tcBorders>
            <w:vAlign w:val="center"/>
          </w:tcPr>
          <w:p>
            <w:pPr>
              <w:spacing w:line="360" w:lineRule="auto"/>
              <w:ind w:firstLine="720" w:firstLineChars="300"/>
              <w:rPr>
                <w:rFonts w:ascii="仿宋" w:hAnsi="仿宋" w:eastAsia="仿宋"/>
                <w:sz w:val="24"/>
                <w:szCs w:val="24"/>
              </w:rPr>
            </w:pPr>
            <w:r>
              <w:rPr>
                <w:rFonts w:hint="eastAsia" w:ascii="仿宋" w:hAnsi="仿宋" w:eastAsia="仿宋"/>
                <w:sz w:val="24"/>
                <w:szCs w:val="24"/>
              </w:rPr>
              <w:t>年   月   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致</w:t>
            </w:r>
            <w:r>
              <w:rPr>
                <w:rFonts w:hint="eastAsia" w:ascii="仿宋" w:hAnsi="仿宋" w:eastAsia="仿宋"/>
                <w:sz w:val="24"/>
                <w:szCs w:val="24"/>
                <w:u w:val="single"/>
              </w:rPr>
              <w:t xml:space="preserve">   </w:t>
            </w:r>
            <w:r>
              <w:rPr>
                <w:rFonts w:hint="eastAsia" w:ascii="仿宋" w:hAnsi="仿宋" w:eastAsia="仿宋"/>
                <w:b/>
                <w:sz w:val="24"/>
                <w:szCs w:val="24"/>
                <w:u w:val="single"/>
              </w:rPr>
              <w:t>X</w:t>
            </w:r>
            <w:r>
              <w:rPr>
                <w:rFonts w:ascii="仿宋" w:hAnsi="仿宋" w:eastAsia="仿宋"/>
                <w:b/>
                <w:sz w:val="24"/>
                <w:szCs w:val="24"/>
                <w:u w:val="single"/>
              </w:rPr>
              <w:t>X</w:t>
            </w:r>
            <w:r>
              <w:rPr>
                <w:rFonts w:hint="eastAsia" w:ascii="仿宋" w:hAnsi="仿宋" w:eastAsia="仿宋"/>
                <w:b/>
                <w:sz w:val="24"/>
                <w:szCs w:val="24"/>
                <w:u w:val="single"/>
              </w:rPr>
              <w:t xml:space="preserve">公司  </w:t>
            </w:r>
            <w:r>
              <w:rPr>
                <w:rFonts w:hint="eastAsia" w:ascii="仿宋" w:hAnsi="仿宋" w:eastAsia="仿宋"/>
                <w:sz w:val="24"/>
                <w:szCs w:val="24"/>
              </w:rPr>
              <w:t>（监理单位）：</w:t>
            </w:r>
          </w:p>
          <w:p>
            <w:pPr>
              <w:spacing w:line="360" w:lineRule="auto"/>
              <w:ind w:firstLine="480"/>
              <w:rPr>
                <w:rFonts w:ascii="仿宋" w:hAnsi="仿宋" w:eastAsia="仿宋"/>
                <w:sz w:val="24"/>
                <w:szCs w:val="24"/>
              </w:rPr>
            </w:pPr>
            <w:r>
              <w:rPr>
                <w:rFonts w:hint="eastAsia" w:ascii="仿宋" w:hAnsi="仿宋" w:eastAsia="仿宋"/>
                <w:sz w:val="24"/>
                <w:szCs w:val="24"/>
              </w:rPr>
              <w:t>由于</w:t>
            </w:r>
            <w:r>
              <w:rPr>
                <w:rFonts w:hint="eastAsia" w:ascii="仿宋" w:hAnsi="仿宋" w:eastAsia="仿宋"/>
                <w:sz w:val="24"/>
                <w:szCs w:val="24"/>
                <w:u w:val="single"/>
              </w:rPr>
              <w:t xml:space="preserve">  </w:t>
            </w:r>
            <w:r>
              <w:rPr>
                <w:rFonts w:hint="eastAsia" w:ascii="仿宋" w:hAnsi="仿宋" w:eastAsia="仿宋"/>
                <w:b/>
                <w:sz w:val="24"/>
                <w:szCs w:val="24"/>
                <w:u w:val="single"/>
              </w:rPr>
              <w:t>原招标文件即投标文件电气工程部分罗列清单内“吸顶灯具”，甲供材无法提供，其实际为施工方自行购买灯具</w:t>
            </w:r>
            <w:r>
              <w:rPr>
                <w:rFonts w:hint="eastAsia" w:ascii="仿宋" w:hAnsi="仿宋" w:eastAsia="仿宋"/>
                <w:b/>
                <w:sz w:val="24"/>
                <w:szCs w:val="24"/>
                <w:u w:val="single"/>
                <w:lang w:val="en-US" w:eastAsia="zh-CN"/>
              </w:rPr>
              <w:t>高效节能双管荧光灯</w:t>
            </w:r>
            <w:r>
              <w:rPr>
                <w:rFonts w:hint="eastAsia" w:ascii="仿宋" w:hAnsi="仿宋" w:eastAsia="仿宋"/>
                <w:b/>
                <w:sz w:val="24"/>
                <w:szCs w:val="24"/>
                <w:u w:val="single"/>
              </w:rPr>
              <w:t>，灯具购买价格</w:t>
            </w:r>
            <w:r>
              <w:rPr>
                <w:rFonts w:ascii="仿宋" w:hAnsi="仿宋" w:eastAsia="仿宋"/>
                <w:b/>
                <w:sz w:val="24"/>
                <w:szCs w:val="24"/>
                <w:u w:val="single"/>
              </w:rPr>
              <w:t>1</w:t>
            </w:r>
            <w:r>
              <w:rPr>
                <w:rFonts w:hint="eastAsia" w:ascii="仿宋" w:hAnsi="仿宋" w:eastAsia="仿宋"/>
                <w:b/>
                <w:sz w:val="24"/>
                <w:szCs w:val="24"/>
                <w:u w:val="single"/>
                <w:lang w:val="en-US" w:eastAsia="zh-CN"/>
              </w:rPr>
              <w:t>5</w:t>
            </w:r>
            <w:r>
              <w:rPr>
                <w:rFonts w:ascii="仿宋" w:hAnsi="仿宋" w:eastAsia="仿宋"/>
                <w:b/>
                <w:sz w:val="24"/>
                <w:szCs w:val="24"/>
                <w:u w:val="single"/>
              </w:rPr>
              <w:t>0</w:t>
            </w:r>
            <w:r>
              <w:rPr>
                <w:rFonts w:hint="eastAsia" w:ascii="仿宋" w:hAnsi="仿宋" w:eastAsia="仿宋"/>
                <w:b/>
                <w:sz w:val="24"/>
                <w:szCs w:val="24"/>
                <w:u w:val="single"/>
              </w:rPr>
              <w:t xml:space="preserve">元/套 </w:t>
            </w:r>
            <w:r>
              <w:rPr>
                <w:rFonts w:hint="eastAsia" w:ascii="仿宋" w:hAnsi="仿宋" w:eastAsia="仿宋"/>
                <w:sz w:val="24"/>
                <w:szCs w:val="24"/>
              </w:rPr>
              <w:t xml:space="preserve">的原因，兹提出 </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清单名称变更 </w:t>
            </w:r>
            <w:r>
              <w:rPr>
                <w:rFonts w:hint="eastAsia" w:ascii="仿宋" w:hAnsi="仿宋" w:eastAsia="仿宋"/>
                <w:sz w:val="24"/>
                <w:szCs w:val="24"/>
              </w:rPr>
              <w:t>工程变更（内容详见附件），请予以审批。</w:t>
            </w:r>
          </w:p>
          <w:p>
            <w:pPr>
              <w:spacing w:line="360" w:lineRule="auto"/>
              <w:ind w:firstLine="480"/>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附件：</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原依据：</w:t>
            </w:r>
          </w:p>
          <w:p>
            <w:pPr>
              <w:spacing w:line="360" w:lineRule="auto"/>
              <w:ind w:firstLine="595" w:firstLineChars="247"/>
              <w:rPr>
                <w:rFonts w:ascii="仿宋" w:hAnsi="仿宋" w:eastAsia="仿宋"/>
                <w:b/>
                <w:sz w:val="24"/>
                <w:szCs w:val="24"/>
              </w:rPr>
            </w:pPr>
            <w:r>
              <w:rPr>
                <w:rFonts w:hint="eastAsia" w:ascii="仿宋" w:hAnsi="仿宋" w:eastAsia="仿宋"/>
                <w:b/>
                <w:sz w:val="24"/>
                <w:szCs w:val="24"/>
              </w:rPr>
              <w:t>招标文件清单系统工程部分，编号：</w:t>
            </w:r>
            <w:r>
              <w:rPr>
                <w:rFonts w:ascii="仿宋" w:hAnsi="仿宋" w:eastAsia="仿宋"/>
                <w:b/>
                <w:sz w:val="24"/>
                <w:szCs w:val="24"/>
              </w:rPr>
              <w:t>03041200</w:t>
            </w:r>
            <w:r>
              <w:rPr>
                <w:rFonts w:hint="eastAsia" w:ascii="仿宋" w:hAnsi="仿宋" w:eastAsia="仿宋"/>
                <w:b/>
                <w:sz w:val="24"/>
                <w:szCs w:val="24"/>
                <w:lang w:val="en-US" w:eastAsia="zh-CN"/>
              </w:rPr>
              <w:t>5</w:t>
            </w:r>
            <w:r>
              <w:rPr>
                <w:rFonts w:ascii="仿宋" w:hAnsi="仿宋" w:eastAsia="仿宋"/>
                <w:b/>
                <w:sz w:val="24"/>
                <w:szCs w:val="24"/>
              </w:rPr>
              <w:t>0</w:t>
            </w:r>
            <w:r>
              <w:rPr>
                <w:rFonts w:hint="eastAsia" w:ascii="仿宋" w:hAnsi="仿宋" w:eastAsia="仿宋"/>
                <w:b/>
                <w:sz w:val="24"/>
                <w:szCs w:val="24"/>
                <w:lang w:val="en-US" w:eastAsia="zh-CN"/>
              </w:rPr>
              <w:t>01</w:t>
            </w:r>
            <w:r>
              <w:rPr>
                <w:rFonts w:hint="eastAsia" w:ascii="仿宋" w:hAnsi="仿宋" w:eastAsia="仿宋"/>
                <w:b/>
                <w:sz w:val="24"/>
                <w:szCs w:val="24"/>
              </w:rPr>
              <w:t>项目“</w:t>
            </w:r>
            <w:r>
              <w:rPr>
                <w:rFonts w:hint="eastAsia" w:ascii="仿宋" w:hAnsi="仿宋" w:eastAsia="仿宋"/>
                <w:b/>
                <w:sz w:val="24"/>
                <w:szCs w:val="24"/>
                <w:lang w:val="en-US" w:eastAsia="zh-CN"/>
              </w:rPr>
              <w:t>荧光灯</w:t>
            </w:r>
            <w:r>
              <w:rPr>
                <w:rFonts w:hint="eastAsia" w:ascii="仿宋" w:hAnsi="仿宋" w:eastAsia="仿宋"/>
                <w:b/>
                <w:sz w:val="24"/>
                <w:szCs w:val="24"/>
              </w:rPr>
              <w:t>”</w:t>
            </w:r>
          </w:p>
          <w:p>
            <w:pPr>
              <w:spacing w:line="360" w:lineRule="auto"/>
              <w:rPr>
                <w:rFonts w:ascii="仿宋" w:hAnsi="仿宋" w:eastAsia="仿宋"/>
                <w:sz w:val="24"/>
                <w:szCs w:val="24"/>
              </w:rPr>
            </w:pPr>
            <w:r>
              <w:rPr>
                <w:rFonts w:hint="eastAsia" w:ascii="仿宋" w:hAnsi="仿宋" w:eastAsia="仿宋"/>
                <w:sz w:val="24"/>
                <w:szCs w:val="24"/>
              </w:rPr>
              <w:t xml:space="preserve">     </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提出单位名称：                             提出单位负责人（签字）：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一致意见：</w:t>
            </w:r>
          </w:p>
          <w:p>
            <w:pPr>
              <w:numPr>
                <w:ilvl w:val="0"/>
                <w:numId w:val="5"/>
              </w:numPr>
              <w:spacing w:line="360" w:lineRule="auto"/>
              <w:rPr>
                <w:rFonts w:ascii="仿宋" w:hAnsi="仿宋" w:eastAsia="仿宋"/>
                <w:b/>
                <w:sz w:val="24"/>
                <w:szCs w:val="24"/>
              </w:rPr>
            </w:pPr>
            <w:r>
              <w:rPr>
                <w:rFonts w:hint="eastAsia" w:ascii="仿宋" w:hAnsi="仿宋" w:eastAsia="仿宋"/>
                <w:b/>
                <w:sz w:val="24"/>
                <w:szCs w:val="24"/>
              </w:rPr>
              <w:t>一致同意申请意见，审计不做审减本项目与投标组价。</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建设单位代表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设计单位代表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监理单位代表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503"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施工单位代表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r>
    </w:tbl>
    <w:p>
      <w:pPr>
        <w:spacing w:line="360" w:lineRule="auto"/>
        <w:ind w:left="-210" w:leftChars="-100" w:right="-227" w:rightChars="-108" w:firstLine="960" w:firstLineChars="400"/>
        <w:rPr>
          <w:rFonts w:ascii="仿宋" w:hAnsi="仿宋" w:eastAsia="仿宋"/>
          <w:sz w:val="24"/>
          <w:szCs w:val="24"/>
        </w:rPr>
      </w:pPr>
      <w:r>
        <w:rPr>
          <w:rFonts w:hint="eastAsia" w:ascii="仿宋" w:hAnsi="仿宋" w:eastAsia="仿宋"/>
          <w:sz w:val="24"/>
          <w:szCs w:val="24"/>
        </w:rPr>
        <w:t>本表由提出单位填报，有关单位会签，并各存一份。</w:t>
      </w:r>
    </w:p>
    <w:p>
      <w:pPr>
        <w:pStyle w:val="8"/>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3.成果文件提交：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价款调整原始文件命名为: 3.4</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项目一</w:t>
      </w:r>
      <w:r>
        <w:rPr>
          <w:rFonts w:hint="eastAsia" w:ascii="仿宋" w:hAnsi="仿宋" w:eastAsia="仿宋" w:cs="宋体"/>
          <w:sz w:val="24"/>
          <w:szCs w:val="24"/>
        </w:rPr>
        <w:t>合同交款调整文件;</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价款调整后报价汇总表PDF格式命名为: 3.5</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项目一</w:t>
      </w:r>
      <w:r>
        <w:rPr>
          <w:rFonts w:hint="eastAsia" w:ascii="仿宋" w:hAnsi="仿宋" w:eastAsia="仿宋" w:cs="宋体"/>
          <w:sz w:val="24"/>
          <w:szCs w:val="24"/>
        </w:rPr>
        <w:t>单项工程投标报价汇总表（只提供价款调整部分，原投标无需再次提交）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 xml:space="preserve">建筑装饰工程分项工程量清单计价表PDF格式命名为:3.6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项目一</w:t>
      </w:r>
      <w:r>
        <w:rPr>
          <w:rFonts w:hint="eastAsia" w:ascii="仿宋" w:hAnsi="仿宋" w:eastAsia="仿宋" w:cs="宋体"/>
          <w:sz w:val="24"/>
          <w:szCs w:val="24"/>
        </w:rPr>
        <w:t>建筑与装饰工程分部分项工程量清单计价表（只提供价款调整部分，原投标无需再次提交）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安装工程分项工程量清单计价表PDF格式命名为:3.</w:t>
      </w:r>
      <w:r>
        <w:rPr>
          <w:rFonts w:ascii="仿宋" w:hAnsi="仿宋" w:eastAsia="仿宋" w:cs="宋体"/>
          <w:sz w:val="24"/>
          <w:szCs w:val="24"/>
        </w:rPr>
        <w:t>7</w:t>
      </w:r>
      <w:r>
        <w:rPr>
          <w:rFonts w:hint="eastAsia" w:ascii="仿宋" w:hAnsi="仿宋" w:eastAsia="仿宋" w:cs="宋体"/>
          <w:sz w:val="24"/>
          <w:szCs w:val="24"/>
        </w:rPr>
        <w:t xml:space="preserve">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项目一</w:t>
      </w:r>
      <w:r>
        <w:rPr>
          <w:rFonts w:hint="eastAsia" w:ascii="仿宋" w:hAnsi="仿宋" w:eastAsia="仿宋" w:cs="宋体"/>
          <w:sz w:val="24"/>
          <w:szCs w:val="24"/>
        </w:rPr>
        <w:t>安装工程分部分项工程量清单计价表（只提供价款调整部分，原投标无需再次提交）</w:t>
      </w:r>
    </w:p>
    <w:p>
      <w:pPr>
        <w:pStyle w:val="8"/>
        <w:spacing w:line="360" w:lineRule="auto"/>
        <w:ind w:left="0" w:leftChars="0" w:firstLine="480"/>
        <w:rPr>
          <w:rFonts w:ascii="仿宋" w:hAnsi="仿宋" w:eastAsia="仿宋"/>
          <w:sz w:val="24"/>
          <w:szCs w:val="24"/>
        </w:rPr>
      </w:pPr>
      <w:r>
        <w:rPr>
          <w:rFonts w:hint="eastAsia" w:ascii="仿宋" w:hAnsi="仿宋" w:eastAsia="仿宋" w:cs="宋体"/>
          <w:sz w:val="24"/>
          <w:szCs w:val="24"/>
        </w:rPr>
        <w:t>以上文件同试题</w:t>
      </w:r>
      <w:r>
        <w:rPr>
          <w:rFonts w:hint="eastAsia" w:ascii="仿宋" w:hAnsi="仿宋" w:eastAsia="仿宋" w:cs="宋体"/>
          <w:sz w:val="24"/>
          <w:szCs w:val="24"/>
          <w:lang w:val="en-US" w:eastAsia="zh-CN"/>
        </w:rPr>
        <w:t>最后</w:t>
      </w:r>
      <w:r>
        <w:rPr>
          <w:rFonts w:hint="eastAsia" w:ascii="仿宋" w:hAnsi="仿宋" w:eastAsia="仿宋" w:cs="宋体"/>
          <w:sz w:val="24"/>
          <w:szCs w:val="24"/>
        </w:rPr>
        <w:t>一起</w:t>
      </w:r>
      <w:r>
        <w:rPr>
          <w:rFonts w:hint="eastAsia" w:ascii="仿宋" w:hAnsi="仿宋" w:eastAsia="仿宋" w:cs="宋体"/>
          <w:sz w:val="24"/>
          <w:szCs w:val="24"/>
          <w:lang w:val="en-US" w:eastAsia="zh-CN"/>
        </w:rPr>
        <w:t>装入U盘内的“</w:t>
      </w:r>
      <w:r>
        <w:rPr>
          <w:rFonts w:hint="eastAsia" w:ascii="仿宋" w:hAnsi="仿宋" w:eastAsia="仿宋" w:cs="宋体"/>
          <w:sz w:val="24"/>
          <w:szCs w:val="24"/>
        </w:rPr>
        <w:t>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hint="eastAsia" w:ascii="仿宋" w:hAnsi="仿宋" w:eastAsia="仿宋" w:cs="宋体"/>
          <w:sz w:val="24"/>
          <w:szCs w:val="24"/>
          <w:lang w:val="en-US" w:eastAsia="zh-CN"/>
        </w:rPr>
        <w:t>”文件夹内</w:t>
      </w:r>
      <w:r>
        <w:rPr>
          <w:rFonts w:hint="eastAsia" w:ascii="仿宋" w:hAnsi="仿宋" w:eastAsia="仿宋" w:cs="宋体"/>
          <w:sz w:val="24"/>
          <w:szCs w:val="24"/>
        </w:rPr>
        <w:t>提交。</w:t>
      </w:r>
    </w:p>
    <w:p>
      <w:pPr>
        <w:spacing w:after="120" w:line="360" w:lineRule="auto"/>
        <w:jc w:val="left"/>
        <w:rPr>
          <w:rFonts w:ascii="仿宋" w:hAnsi="仿宋" w:eastAsia="仿宋" w:cs="宋体"/>
          <w:sz w:val="24"/>
          <w:szCs w:val="28"/>
        </w:rPr>
      </w:pPr>
    </w:p>
    <w:sectPr>
      <w:pgSz w:w="11906" w:h="16838"/>
      <w:pgMar w:top="1135" w:right="1133" w:bottom="993"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82E43C"/>
    <w:multiLevelType w:val="singleLevel"/>
    <w:tmpl w:val="A382E43C"/>
    <w:lvl w:ilvl="0" w:tentative="0">
      <w:start w:val="1"/>
      <w:numFmt w:val="lowerLetter"/>
      <w:lvlText w:val="%1."/>
      <w:lvlJc w:val="left"/>
      <w:pPr>
        <w:ind w:left="425" w:hanging="425"/>
      </w:pPr>
      <w:rPr>
        <w:rFonts w:hint="default"/>
      </w:rPr>
    </w:lvl>
  </w:abstractNum>
  <w:abstractNum w:abstractNumId="1">
    <w:nsid w:val="B4D571FE"/>
    <w:multiLevelType w:val="singleLevel"/>
    <w:tmpl w:val="B4D571FE"/>
    <w:lvl w:ilvl="0" w:tentative="0">
      <w:start w:val="1"/>
      <w:numFmt w:val="lowerLetter"/>
      <w:lvlText w:val="%1."/>
      <w:lvlJc w:val="left"/>
      <w:pPr>
        <w:ind w:left="425" w:hanging="425"/>
      </w:pPr>
      <w:rPr>
        <w:rFonts w:hint="default"/>
      </w:rPr>
    </w:lvl>
  </w:abstractNum>
  <w:abstractNum w:abstractNumId="2">
    <w:nsid w:val="0D92460D"/>
    <w:multiLevelType w:val="singleLevel"/>
    <w:tmpl w:val="0D92460D"/>
    <w:lvl w:ilvl="0" w:tentative="0">
      <w:start w:val="2"/>
      <w:numFmt w:val="decimal"/>
      <w:lvlText w:val="%1."/>
      <w:lvlJc w:val="left"/>
      <w:pPr>
        <w:tabs>
          <w:tab w:val="left" w:pos="312"/>
        </w:tabs>
      </w:pPr>
    </w:lvl>
  </w:abstractNum>
  <w:abstractNum w:abstractNumId="3">
    <w:nsid w:val="1F036FA7"/>
    <w:multiLevelType w:val="multilevel"/>
    <w:tmpl w:val="1F036FA7"/>
    <w:lvl w:ilvl="0" w:tentative="0">
      <w:start w:val="1"/>
      <w:numFmt w:val="decimal"/>
      <w:lvlText w:val="%1、"/>
      <w:lvlJc w:val="left"/>
      <w:pPr>
        <w:tabs>
          <w:tab w:val="left" w:pos="825"/>
        </w:tabs>
        <w:ind w:left="825" w:hanging="360"/>
      </w:pPr>
      <w:rPr>
        <w:rFonts w:hint="default"/>
      </w:rPr>
    </w:lvl>
    <w:lvl w:ilvl="1" w:tentative="0">
      <w:start w:val="1"/>
      <w:numFmt w:val="lowerLetter"/>
      <w:lvlText w:val="%2)"/>
      <w:lvlJc w:val="left"/>
      <w:pPr>
        <w:tabs>
          <w:tab w:val="left" w:pos="1305"/>
        </w:tabs>
        <w:ind w:left="1305" w:hanging="420"/>
      </w:pPr>
    </w:lvl>
    <w:lvl w:ilvl="2" w:tentative="0">
      <w:start w:val="1"/>
      <w:numFmt w:val="lowerRoman"/>
      <w:lvlText w:val="%3."/>
      <w:lvlJc w:val="right"/>
      <w:pPr>
        <w:tabs>
          <w:tab w:val="left" w:pos="1725"/>
        </w:tabs>
        <w:ind w:left="1725" w:hanging="420"/>
      </w:pPr>
    </w:lvl>
    <w:lvl w:ilvl="3" w:tentative="0">
      <w:start w:val="1"/>
      <w:numFmt w:val="decimal"/>
      <w:lvlText w:val="%4."/>
      <w:lvlJc w:val="left"/>
      <w:pPr>
        <w:tabs>
          <w:tab w:val="left" w:pos="2145"/>
        </w:tabs>
        <w:ind w:left="2145" w:hanging="420"/>
      </w:pPr>
    </w:lvl>
    <w:lvl w:ilvl="4" w:tentative="0">
      <w:start w:val="1"/>
      <w:numFmt w:val="lowerLetter"/>
      <w:lvlText w:val="%5)"/>
      <w:lvlJc w:val="left"/>
      <w:pPr>
        <w:tabs>
          <w:tab w:val="left" w:pos="2565"/>
        </w:tabs>
        <w:ind w:left="2565" w:hanging="420"/>
      </w:pPr>
    </w:lvl>
    <w:lvl w:ilvl="5" w:tentative="0">
      <w:start w:val="1"/>
      <w:numFmt w:val="lowerRoman"/>
      <w:lvlText w:val="%6."/>
      <w:lvlJc w:val="right"/>
      <w:pPr>
        <w:tabs>
          <w:tab w:val="left" w:pos="2985"/>
        </w:tabs>
        <w:ind w:left="2985" w:hanging="420"/>
      </w:pPr>
    </w:lvl>
    <w:lvl w:ilvl="6" w:tentative="0">
      <w:start w:val="1"/>
      <w:numFmt w:val="decimal"/>
      <w:lvlText w:val="%7."/>
      <w:lvlJc w:val="left"/>
      <w:pPr>
        <w:tabs>
          <w:tab w:val="left" w:pos="3405"/>
        </w:tabs>
        <w:ind w:left="3405" w:hanging="420"/>
      </w:pPr>
    </w:lvl>
    <w:lvl w:ilvl="7" w:tentative="0">
      <w:start w:val="1"/>
      <w:numFmt w:val="lowerLetter"/>
      <w:lvlText w:val="%8)"/>
      <w:lvlJc w:val="left"/>
      <w:pPr>
        <w:tabs>
          <w:tab w:val="left" w:pos="3825"/>
        </w:tabs>
        <w:ind w:left="3825" w:hanging="420"/>
      </w:pPr>
    </w:lvl>
    <w:lvl w:ilvl="8" w:tentative="0">
      <w:start w:val="1"/>
      <w:numFmt w:val="lowerRoman"/>
      <w:lvlText w:val="%9."/>
      <w:lvlJc w:val="right"/>
      <w:pPr>
        <w:tabs>
          <w:tab w:val="left" w:pos="4245"/>
        </w:tabs>
        <w:ind w:left="4245" w:hanging="420"/>
      </w:pPr>
    </w:lvl>
  </w:abstractNum>
  <w:abstractNum w:abstractNumId="4">
    <w:nsid w:val="406E6238"/>
    <w:multiLevelType w:val="singleLevel"/>
    <w:tmpl w:val="406E6238"/>
    <w:lvl w:ilvl="0" w:tentative="0">
      <w:start w:val="2"/>
      <w:numFmt w:val="chineseCounting"/>
      <w:suff w:val="nothing"/>
      <w:lvlText w:val="%1、"/>
      <w:lvlJc w:val="left"/>
      <w:rPr>
        <w:rFonts w:hint="eastAsia"/>
      </w:rPr>
    </w:lvl>
  </w:abstractNum>
  <w:abstractNum w:abstractNumId="5">
    <w:nsid w:val="5669BA39"/>
    <w:multiLevelType w:val="singleLevel"/>
    <w:tmpl w:val="5669BA39"/>
    <w:lvl w:ilvl="0" w:tentative="0">
      <w:start w:val="3"/>
      <w:numFmt w:val="decimal"/>
      <w:suff w:val="nothing"/>
      <w:lvlText w:val="%1、"/>
      <w:lvlJc w:val="left"/>
    </w:lvl>
  </w:abstractNum>
  <w:num w:numId="1">
    <w:abstractNumId w:val="5"/>
  </w:num>
  <w:num w:numId="2">
    <w:abstractNumId w:val="4"/>
  </w:num>
  <w:num w:numId="3">
    <w:abstractNumId w:val="0"/>
  </w:num>
  <w:num w:numId="4">
    <w:abstractNumId w:val="2"/>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NiODMyMjQxNGUyZTZjZWIwYWE4MmZmOTdhNzNmYTYifQ=="/>
  </w:docVars>
  <w:rsids>
    <w:rsidRoot w:val="001D1B7F"/>
    <w:rsid w:val="000577A1"/>
    <w:rsid w:val="00057BB7"/>
    <w:rsid w:val="000816D7"/>
    <w:rsid w:val="000A2D53"/>
    <w:rsid w:val="000B4C39"/>
    <w:rsid w:val="000E458B"/>
    <w:rsid w:val="001035E8"/>
    <w:rsid w:val="00107AA3"/>
    <w:rsid w:val="00123B48"/>
    <w:rsid w:val="00131717"/>
    <w:rsid w:val="00141964"/>
    <w:rsid w:val="00156146"/>
    <w:rsid w:val="001601F7"/>
    <w:rsid w:val="00166902"/>
    <w:rsid w:val="001700C9"/>
    <w:rsid w:val="00184916"/>
    <w:rsid w:val="001A5986"/>
    <w:rsid w:val="001C55EA"/>
    <w:rsid w:val="001D1B7F"/>
    <w:rsid w:val="001D48AF"/>
    <w:rsid w:val="001E6D34"/>
    <w:rsid w:val="00203CB3"/>
    <w:rsid w:val="00204C54"/>
    <w:rsid w:val="00230308"/>
    <w:rsid w:val="00231AF9"/>
    <w:rsid w:val="002402FC"/>
    <w:rsid w:val="002543F3"/>
    <w:rsid w:val="00264617"/>
    <w:rsid w:val="00266B10"/>
    <w:rsid w:val="002A5CE4"/>
    <w:rsid w:val="00302E41"/>
    <w:rsid w:val="0030675E"/>
    <w:rsid w:val="003136D3"/>
    <w:rsid w:val="00320657"/>
    <w:rsid w:val="00327FA3"/>
    <w:rsid w:val="00330A5E"/>
    <w:rsid w:val="003434AC"/>
    <w:rsid w:val="00345496"/>
    <w:rsid w:val="00367D0E"/>
    <w:rsid w:val="00380672"/>
    <w:rsid w:val="0038357C"/>
    <w:rsid w:val="003A17C8"/>
    <w:rsid w:val="003B1B2C"/>
    <w:rsid w:val="003C4907"/>
    <w:rsid w:val="003C7203"/>
    <w:rsid w:val="003F569F"/>
    <w:rsid w:val="00412CC2"/>
    <w:rsid w:val="00432A25"/>
    <w:rsid w:val="00435C29"/>
    <w:rsid w:val="00443F01"/>
    <w:rsid w:val="0044571C"/>
    <w:rsid w:val="004B1578"/>
    <w:rsid w:val="004C1586"/>
    <w:rsid w:val="004C43A6"/>
    <w:rsid w:val="004E0E5B"/>
    <w:rsid w:val="004E2596"/>
    <w:rsid w:val="005218EB"/>
    <w:rsid w:val="00532359"/>
    <w:rsid w:val="00540A88"/>
    <w:rsid w:val="005651D5"/>
    <w:rsid w:val="00580D61"/>
    <w:rsid w:val="005B49BC"/>
    <w:rsid w:val="005C25CB"/>
    <w:rsid w:val="005D03EF"/>
    <w:rsid w:val="005D4442"/>
    <w:rsid w:val="005E03D4"/>
    <w:rsid w:val="005E5BDA"/>
    <w:rsid w:val="00607B5B"/>
    <w:rsid w:val="006205F0"/>
    <w:rsid w:val="00622BF9"/>
    <w:rsid w:val="00625F77"/>
    <w:rsid w:val="0063071D"/>
    <w:rsid w:val="006313AF"/>
    <w:rsid w:val="00635A3A"/>
    <w:rsid w:val="00661667"/>
    <w:rsid w:val="00665CED"/>
    <w:rsid w:val="006D6603"/>
    <w:rsid w:val="006D6AC2"/>
    <w:rsid w:val="006E33A2"/>
    <w:rsid w:val="006E49F3"/>
    <w:rsid w:val="006F6BA9"/>
    <w:rsid w:val="007227BF"/>
    <w:rsid w:val="0075407D"/>
    <w:rsid w:val="00757C96"/>
    <w:rsid w:val="0077075F"/>
    <w:rsid w:val="0077282D"/>
    <w:rsid w:val="007A12A4"/>
    <w:rsid w:val="007B1B4E"/>
    <w:rsid w:val="007E0A5D"/>
    <w:rsid w:val="007E5800"/>
    <w:rsid w:val="00833E78"/>
    <w:rsid w:val="00846C87"/>
    <w:rsid w:val="00854828"/>
    <w:rsid w:val="00854A60"/>
    <w:rsid w:val="008724A5"/>
    <w:rsid w:val="00883BB5"/>
    <w:rsid w:val="0088561F"/>
    <w:rsid w:val="008A7605"/>
    <w:rsid w:val="008B5EC8"/>
    <w:rsid w:val="008D6934"/>
    <w:rsid w:val="008E12BB"/>
    <w:rsid w:val="008E1650"/>
    <w:rsid w:val="008E4032"/>
    <w:rsid w:val="008E4C10"/>
    <w:rsid w:val="00905D1A"/>
    <w:rsid w:val="0091081D"/>
    <w:rsid w:val="00932459"/>
    <w:rsid w:val="00943A71"/>
    <w:rsid w:val="00946883"/>
    <w:rsid w:val="009614BC"/>
    <w:rsid w:val="00964534"/>
    <w:rsid w:val="0096506D"/>
    <w:rsid w:val="00966A01"/>
    <w:rsid w:val="009725B2"/>
    <w:rsid w:val="0097303C"/>
    <w:rsid w:val="00982C06"/>
    <w:rsid w:val="009B666E"/>
    <w:rsid w:val="009D2039"/>
    <w:rsid w:val="00A06B95"/>
    <w:rsid w:val="00A123E1"/>
    <w:rsid w:val="00A1343E"/>
    <w:rsid w:val="00A16F57"/>
    <w:rsid w:val="00A36573"/>
    <w:rsid w:val="00A41B6A"/>
    <w:rsid w:val="00A46BEC"/>
    <w:rsid w:val="00A50049"/>
    <w:rsid w:val="00A74838"/>
    <w:rsid w:val="00A77A1F"/>
    <w:rsid w:val="00A92B04"/>
    <w:rsid w:val="00AA3019"/>
    <w:rsid w:val="00AC768F"/>
    <w:rsid w:val="00B04830"/>
    <w:rsid w:val="00B16D48"/>
    <w:rsid w:val="00B1743E"/>
    <w:rsid w:val="00B20060"/>
    <w:rsid w:val="00B24F6D"/>
    <w:rsid w:val="00B260A9"/>
    <w:rsid w:val="00B571DA"/>
    <w:rsid w:val="00B76F14"/>
    <w:rsid w:val="00B77E47"/>
    <w:rsid w:val="00B87B73"/>
    <w:rsid w:val="00B93410"/>
    <w:rsid w:val="00BB1911"/>
    <w:rsid w:val="00BC3A5A"/>
    <w:rsid w:val="00BC513A"/>
    <w:rsid w:val="00BD442D"/>
    <w:rsid w:val="00BE6EC7"/>
    <w:rsid w:val="00BF1278"/>
    <w:rsid w:val="00BF4B5A"/>
    <w:rsid w:val="00BF4E39"/>
    <w:rsid w:val="00C02E12"/>
    <w:rsid w:val="00C05396"/>
    <w:rsid w:val="00C05B19"/>
    <w:rsid w:val="00C14603"/>
    <w:rsid w:val="00C314A3"/>
    <w:rsid w:val="00C63238"/>
    <w:rsid w:val="00C73EFC"/>
    <w:rsid w:val="00CA4059"/>
    <w:rsid w:val="00CB7CFF"/>
    <w:rsid w:val="00CC0D1C"/>
    <w:rsid w:val="00CC2BD7"/>
    <w:rsid w:val="00D0255B"/>
    <w:rsid w:val="00D0517C"/>
    <w:rsid w:val="00D0535C"/>
    <w:rsid w:val="00D34CFE"/>
    <w:rsid w:val="00D445A1"/>
    <w:rsid w:val="00D64EEE"/>
    <w:rsid w:val="00D67CDA"/>
    <w:rsid w:val="00D715D4"/>
    <w:rsid w:val="00D7777E"/>
    <w:rsid w:val="00DB0026"/>
    <w:rsid w:val="00DC6034"/>
    <w:rsid w:val="00DC70DF"/>
    <w:rsid w:val="00E04253"/>
    <w:rsid w:val="00E05113"/>
    <w:rsid w:val="00E471ED"/>
    <w:rsid w:val="00E56A55"/>
    <w:rsid w:val="00E67B34"/>
    <w:rsid w:val="00E73D37"/>
    <w:rsid w:val="00E86E01"/>
    <w:rsid w:val="00E933C7"/>
    <w:rsid w:val="00E96B42"/>
    <w:rsid w:val="00EB7CC0"/>
    <w:rsid w:val="00ED5496"/>
    <w:rsid w:val="00ED7C39"/>
    <w:rsid w:val="00EE30BC"/>
    <w:rsid w:val="00EF69F6"/>
    <w:rsid w:val="00F06538"/>
    <w:rsid w:val="00F1742C"/>
    <w:rsid w:val="00F22712"/>
    <w:rsid w:val="00F34E06"/>
    <w:rsid w:val="00F35DE6"/>
    <w:rsid w:val="00F371B1"/>
    <w:rsid w:val="00F400F0"/>
    <w:rsid w:val="00F6499A"/>
    <w:rsid w:val="00F83E26"/>
    <w:rsid w:val="00F95346"/>
    <w:rsid w:val="00F95E12"/>
    <w:rsid w:val="00FA6900"/>
    <w:rsid w:val="00FC5FE3"/>
    <w:rsid w:val="00FD021C"/>
    <w:rsid w:val="00FE46D6"/>
    <w:rsid w:val="00FE5D34"/>
    <w:rsid w:val="00FF6F94"/>
    <w:rsid w:val="04A6353E"/>
    <w:rsid w:val="06600C22"/>
    <w:rsid w:val="070778F5"/>
    <w:rsid w:val="07BF66B3"/>
    <w:rsid w:val="081F52C4"/>
    <w:rsid w:val="08BB6F35"/>
    <w:rsid w:val="0A1551FF"/>
    <w:rsid w:val="0A530F4B"/>
    <w:rsid w:val="0B085980"/>
    <w:rsid w:val="0D542EEE"/>
    <w:rsid w:val="0F0F17D9"/>
    <w:rsid w:val="0F7450D1"/>
    <w:rsid w:val="114908F7"/>
    <w:rsid w:val="11D83557"/>
    <w:rsid w:val="13C92283"/>
    <w:rsid w:val="155E6C6E"/>
    <w:rsid w:val="162716E7"/>
    <w:rsid w:val="176C53FF"/>
    <w:rsid w:val="18BD7D3F"/>
    <w:rsid w:val="1CB2478F"/>
    <w:rsid w:val="1F994444"/>
    <w:rsid w:val="1FD6538E"/>
    <w:rsid w:val="20957400"/>
    <w:rsid w:val="211A616C"/>
    <w:rsid w:val="21885277"/>
    <w:rsid w:val="21D92BE9"/>
    <w:rsid w:val="22F56609"/>
    <w:rsid w:val="269B6808"/>
    <w:rsid w:val="298C7537"/>
    <w:rsid w:val="2A315751"/>
    <w:rsid w:val="2BFD269F"/>
    <w:rsid w:val="2D286F96"/>
    <w:rsid w:val="2EA3508F"/>
    <w:rsid w:val="2F660153"/>
    <w:rsid w:val="2FE222AB"/>
    <w:rsid w:val="307E106E"/>
    <w:rsid w:val="319C7525"/>
    <w:rsid w:val="31FE1841"/>
    <w:rsid w:val="323641B3"/>
    <w:rsid w:val="323B3EF4"/>
    <w:rsid w:val="33400E54"/>
    <w:rsid w:val="34A001A7"/>
    <w:rsid w:val="34AE50EF"/>
    <w:rsid w:val="34C40815"/>
    <w:rsid w:val="35713D94"/>
    <w:rsid w:val="372C0273"/>
    <w:rsid w:val="37BB54F4"/>
    <w:rsid w:val="387B6D70"/>
    <w:rsid w:val="392F1FF2"/>
    <w:rsid w:val="3B9D45B4"/>
    <w:rsid w:val="3DC86D1C"/>
    <w:rsid w:val="40056191"/>
    <w:rsid w:val="42D11AAC"/>
    <w:rsid w:val="44C1472D"/>
    <w:rsid w:val="46FF58D0"/>
    <w:rsid w:val="470819E0"/>
    <w:rsid w:val="48D43530"/>
    <w:rsid w:val="49913C42"/>
    <w:rsid w:val="49995110"/>
    <w:rsid w:val="4BFD1393"/>
    <w:rsid w:val="4DBB4021"/>
    <w:rsid w:val="4FAA54C4"/>
    <w:rsid w:val="53795B2E"/>
    <w:rsid w:val="554C0226"/>
    <w:rsid w:val="55A70848"/>
    <w:rsid w:val="575061B3"/>
    <w:rsid w:val="5B7A50C9"/>
    <w:rsid w:val="62620EA5"/>
    <w:rsid w:val="62674F6B"/>
    <w:rsid w:val="62E83F51"/>
    <w:rsid w:val="640B6FC2"/>
    <w:rsid w:val="64675BAD"/>
    <w:rsid w:val="68466A2E"/>
    <w:rsid w:val="690A55C6"/>
    <w:rsid w:val="6C0C53B2"/>
    <w:rsid w:val="6E710E3B"/>
    <w:rsid w:val="6FB62650"/>
    <w:rsid w:val="70E10198"/>
    <w:rsid w:val="71775FF0"/>
    <w:rsid w:val="720A7F6F"/>
    <w:rsid w:val="72461033"/>
    <w:rsid w:val="729B3029"/>
    <w:rsid w:val="7536625B"/>
    <w:rsid w:val="787E7B12"/>
    <w:rsid w:val="78E20546"/>
    <w:rsid w:val="79762F51"/>
    <w:rsid w:val="79C70391"/>
    <w:rsid w:val="7A521FBA"/>
    <w:rsid w:val="7AE55C98"/>
    <w:rsid w:val="7BCB31C0"/>
    <w:rsid w:val="7DCC1471"/>
    <w:rsid w:val="7FE33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Body Text"/>
    <w:basedOn w:val="1"/>
    <w:link w:val="12"/>
    <w:unhideWhenUsed/>
    <w:qFormat/>
    <w:uiPriority w:val="1"/>
    <w:pPr>
      <w:autoSpaceDE w:val="0"/>
      <w:autoSpaceDN w:val="0"/>
      <w:adjustRightInd w:val="0"/>
      <w:spacing w:before="47"/>
      <w:jc w:val="left"/>
    </w:pPr>
    <w:rPr>
      <w:rFonts w:hint="eastAsia" w:ascii="微软雅黑" w:hAnsi="Times New Roman" w:eastAsia="微软雅黑" w:cs="Times New Roman"/>
      <w:kern w:val="0"/>
      <w:sz w:val="24"/>
      <w:szCs w:val="20"/>
    </w:rPr>
  </w:style>
  <w:style w:type="paragraph" w:styleId="4">
    <w:name w:val="Body Text Indent"/>
    <w:basedOn w:val="1"/>
    <w:unhideWhenUsed/>
    <w:qFormat/>
    <w:uiPriority w:val="99"/>
    <w:pPr>
      <w:spacing w:after="120"/>
      <w:ind w:left="420" w:leftChars="200"/>
    </w:pPr>
    <w:rPr>
      <w:rFonts w:eastAsia="宋体"/>
    </w:rPr>
  </w:style>
  <w:style w:type="paragraph" w:styleId="5">
    <w:name w:val="footer"/>
    <w:basedOn w:val="1"/>
    <w:link w:val="15"/>
    <w:unhideWhenUsed/>
    <w:qFormat/>
    <w:uiPriority w:val="99"/>
    <w:pPr>
      <w:tabs>
        <w:tab w:val="center" w:pos="4153"/>
        <w:tab w:val="right" w:pos="8306"/>
      </w:tabs>
      <w:snapToGrid w:val="0"/>
      <w:jc w:val="left"/>
    </w:pPr>
    <w:rPr>
      <w:sz w:val="18"/>
      <w:szCs w:val="18"/>
    </w:rPr>
  </w:style>
  <w:style w:type="paragraph" w:styleId="6">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qFormat/>
    <w:uiPriority w:val="99"/>
    <w:pPr>
      <w:spacing w:beforeAutospacing="1" w:afterAutospacing="1"/>
      <w:jc w:val="left"/>
    </w:pPr>
    <w:rPr>
      <w:rFonts w:cs="Times New Roman"/>
      <w:kern w:val="0"/>
      <w:sz w:val="24"/>
    </w:rPr>
  </w:style>
  <w:style w:type="paragraph" w:styleId="8">
    <w:name w:val="Body Text First Indent 2"/>
    <w:basedOn w:val="4"/>
    <w:link w:val="16"/>
    <w:unhideWhenUsed/>
    <w:qFormat/>
    <w:uiPriority w:val="99"/>
    <w:pPr>
      <w:ind w:firstLine="420" w:firstLineChars="200"/>
    </w:p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正文文本 字符"/>
    <w:basedOn w:val="11"/>
    <w:link w:val="3"/>
    <w:qFormat/>
    <w:uiPriority w:val="1"/>
    <w:rPr>
      <w:rFonts w:ascii="微软雅黑" w:hAnsi="Times New Roman" w:eastAsia="微软雅黑" w:cs="Times New Roman"/>
      <w:kern w:val="0"/>
      <w:sz w:val="24"/>
      <w:szCs w:val="20"/>
    </w:rPr>
  </w:style>
  <w:style w:type="paragraph" w:styleId="13">
    <w:name w:val="List Paragraph"/>
    <w:basedOn w:val="1"/>
    <w:qFormat/>
    <w:uiPriority w:val="34"/>
    <w:pPr>
      <w:ind w:firstLine="420" w:firstLineChars="200"/>
    </w:pPr>
  </w:style>
  <w:style w:type="character" w:customStyle="1" w:styleId="14">
    <w:name w:val="页眉 字符"/>
    <w:basedOn w:val="11"/>
    <w:link w:val="6"/>
    <w:qFormat/>
    <w:uiPriority w:val="99"/>
    <w:rPr>
      <w:sz w:val="18"/>
      <w:szCs w:val="18"/>
    </w:rPr>
  </w:style>
  <w:style w:type="character" w:customStyle="1" w:styleId="15">
    <w:name w:val="页脚 字符"/>
    <w:basedOn w:val="11"/>
    <w:link w:val="5"/>
    <w:qFormat/>
    <w:uiPriority w:val="99"/>
    <w:rPr>
      <w:sz w:val="18"/>
      <w:szCs w:val="18"/>
    </w:rPr>
  </w:style>
  <w:style w:type="character" w:customStyle="1" w:styleId="16">
    <w:name w:val="正文首行缩进 2 字符"/>
    <w:basedOn w:val="11"/>
    <w:link w:val="8"/>
    <w:qFormat/>
    <w:uiPriority w:val="99"/>
    <w:rPr>
      <w:rFonts w:asciiTheme="minorHAnsi" w:hAnsiTheme="minorHAnsi" w:cstheme="minorBidi"/>
      <w:kern w:val="2"/>
      <w:sz w:val="21"/>
      <w:szCs w:val="22"/>
    </w:rPr>
  </w:style>
  <w:style w:type="table" w:customStyle="1" w:styleId="17">
    <w:name w:val="网格型浅色1"/>
    <w:basedOn w:val="9"/>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EAF46-F61F-4E17-99AC-F8466CEB499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Pages>
  <Words>3520</Words>
  <Characters>3933</Characters>
  <Lines>31</Lines>
  <Paragraphs>8</Paragraphs>
  <TotalTime>23</TotalTime>
  <ScaleCrop>false</ScaleCrop>
  <LinksUpToDate>false</LinksUpToDate>
  <CharactersWithSpaces>4346</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2020-03-27T03:49:00Z</dcterms:created>
  <dc:creator>王晓倩(10005393)</dc:creator>
  <cp:lastModifiedBy>土土</cp:lastModifiedBy>
  <dcterms:modified xsi:type="dcterms:W3CDTF">2023-11-13T19:51:23Z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3AAD2787174D41A3AA5A03424DE1F63C_13</vt:lpwstr>
  </property>
</Properties>
</file>